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03" w:rsidRPr="00343503" w:rsidRDefault="00343503" w:rsidP="00343503">
      <w:pPr>
        <w:jc w:val="center"/>
        <w:rPr>
          <w:b/>
          <w:bCs/>
          <w:sz w:val="28"/>
          <w:szCs w:val="28"/>
          <w:lang w:val="uk-UA" w:eastAsia="en-US"/>
        </w:rPr>
      </w:pPr>
      <w:r w:rsidRPr="00343503">
        <w:rPr>
          <w:b/>
          <w:bCs/>
          <w:sz w:val="28"/>
          <w:szCs w:val="28"/>
          <w:lang w:val="uk-UA" w:eastAsia="en-US"/>
        </w:rPr>
        <w:t xml:space="preserve">Інформація про необхідні технічні, якісні та кількісні характеристики </w:t>
      </w:r>
    </w:p>
    <w:p w:rsidR="00343503" w:rsidRPr="00343503" w:rsidRDefault="00343503" w:rsidP="00343503">
      <w:pPr>
        <w:jc w:val="center"/>
        <w:rPr>
          <w:b/>
          <w:bCs/>
          <w:sz w:val="28"/>
          <w:szCs w:val="28"/>
          <w:lang w:val="uk-UA" w:eastAsia="en-US"/>
        </w:rPr>
      </w:pPr>
      <w:r w:rsidRPr="00343503">
        <w:rPr>
          <w:b/>
          <w:bCs/>
          <w:sz w:val="28"/>
          <w:szCs w:val="28"/>
          <w:lang w:val="uk-UA" w:eastAsia="en-US"/>
        </w:rPr>
        <w:t>предмета закупівлі, у тому числі відповідна технічна специфікація</w:t>
      </w:r>
    </w:p>
    <w:p w:rsidR="00343503" w:rsidRPr="00343503" w:rsidRDefault="00343503" w:rsidP="00343503">
      <w:pPr>
        <w:widowControl w:val="0"/>
        <w:suppressAutoHyphens/>
        <w:ind w:firstLine="709"/>
        <w:jc w:val="center"/>
        <w:rPr>
          <w:b/>
          <w:kern w:val="1"/>
          <w:shd w:val="clear" w:color="auto" w:fill="FFFFFA"/>
          <w:lang w:val="uk-UA" w:eastAsia="hi-IN" w:bidi="hi-IN"/>
        </w:rPr>
      </w:pPr>
    </w:p>
    <w:p w:rsidR="00343503" w:rsidRPr="00343503" w:rsidRDefault="00343503" w:rsidP="00343503">
      <w:pPr>
        <w:jc w:val="center"/>
        <w:rPr>
          <w:rFonts w:cs="Calibri"/>
          <w:b/>
          <w:sz w:val="28"/>
          <w:szCs w:val="28"/>
          <w:lang w:val="uk-UA"/>
        </w:rPr>
      </w:pPr>
      <w:r w:rsidRPr="00343503">
        <w:rPr>
          <w:rFonts w:cs="Calibri"/>
          <w:b/>
          <w:sz w:val="28"/>
          <w:szCs w:val="28"/>
          <w:lang w:val="uk-UA"/>
        </w:rPr>
        <w:t xml:space="preserve">Динамічні оперативні запам’ятовувальні пристрої з синхронних </w:t>
      </w:r>
    </w:p>
    <w:p w:rsidR="00343503" w:rsidRPr="00343503" w:rsidRDefault="00343503" w:rsidP="00343503">
      <w:pPr>
        <w:jc w:val="center"/>
        <w:rPr>
          <w:rFonts w:cs="Calibri"/>
          <w:b/>
          <w:sz w:val="28"/>
          <w:szCs w:val="28"/>
          <w:lang w:val="uk-UA"/>
        </w:rPr>
      </w:pPr>
      <w:r w:rsidRPr="00343503">
        <w:rPr>
          <w:rFonts w:cs="Calibri"/>
          <w:b/>
          <w:sz w:val="28"/>
          <w:szCs w:val="28"/>
          <w:lang w:val="uk-UA"/>
        </w:rPr>
        <w:t>доступом (SDRAM)</w:t>
      </w:r>
    </w:p>
    <w:p w:rsidR="00343503" w:rsidRPr="00343503" w:rsidRDefault="00343503" w:rsidP="00343503">
      <w:pPr>
        <w:jc w:val="center"/>
        <w:rPr>
          <w:color w:val="000000"/>
          <w:bdr w:val="none" w:sz="0" w:space="0" w:color="auto" w:frame="1"/>
          <w:shd w:val="clear" w:color="auto" w:fill="FFFFFF"/>
          <w:lang w:val="uk-UA"/>
        </w:rPr>
      </w:pPr>
      <w:r w:rsidRPr="00343503">
        <w:rPr>
          <w:color w:val="000000"/>
          <w:bdr w:val="none" w:sz="0" w:space="0" w:color="auto" w:frame="1"/>
          <w:shd w:val="clear" w:color="auto" w:fill="FFFFFF"/>
          <w:lang w:val="uk-UA"/>
        </w:rPr>
        <w:t xml:space="preserve"> (</w:t>
      </w:r>
      <w:r w:rsidRPr="00343503">
        <w:rPr>
          <w:bCs/>
        </w:rPr>
        <w:t xml:space="preserve">ДК 021:2015 - </w:t>
      </w:r>
      <w:r w:rsidRPr="00343503">
        <w:t>30230000-0</w:t>
      </w:r>
      <w:r w:rsidRPr="00343503">
        <w:rPr>
          <w:bCs/>
        </w:rPr>
        <w:t xml:space="preserve"> – </w:t>
      </w:r>
      <w:r w:rsidRPr="00343503">
        <w:rPr>
          <w:bCs/>
          <w:lang w:val="uk-UA"/>
        </w:rPr>
        <w:t>к</w:t>
      </w:r>
      <w:proofErr w:type="spellStart"/>
      <w:r w:rsidRPr="00343503">
        <w:t>омп’ютерне</w:t>
      </w:r>
      <w:proofErr w:type="spellEnd"/>
      <w:r w:rsidRPr="00343503">
        <w:t xml:space="preserve"> </w:t>
      </w:r>
      <w:proofErr w:type="spellStart"/>
      <w:r w:rsidRPr="00343503">
        <w:t>обладнання</w:t>
      </w:r>
      <w:proofErr w:type="spellEnd"/>
      <w:r w:rsidRPr="00343503">
        <w:rPr>
          <w:lang w:val="uk-UA"/>
        </w:rPr>
        <w:t>)</w:t>
      </w:r>
    </w:p>
    <w:p w:rsidR="00343503" w:rsidRPr="00343503" w:rsidRDefault="00343503" w:rsidP="00343503">
      <w:pPr>
        <w:jc w:val="center"/>
        <w:rPr>
          <w:color w:val="000000"/>
          <w:bdr w:val="none" w:sz="0" w:space="0" w:color="auto" w:frame="1"/>
          <w:shd w:val="clear" w:color="auto" w:fill="FFFFFF"/>
          <w:lang w:val="uk-UA"/>
        </w:rPr>
      </w:pPr>
    </w:p>
    <w:p w:rsidR="00343503" w:rsidRPr="00343503" w:rsidRDefault="00343503" w:rsidP="00343503">
      <w:pPr>
        <w:widowControl w:val="0"/>
        <w:suppressAutoHyphens/>
        <w:ind w:firstLine="709"/>
        <w:jc w:val="both"/>
        <w:rPr>
          <w:b/>
          <w:lang w:val="uk-UA"/>
        </w:rPr>
      </w:pPr>
      <w:proofErr w:type="spellStart"/>
      <w:r w:rsidRPr="00343503">
        <w:rPr>
          <w:b/>
        </w:rPr>
        <w:t>Обсяг</w:t>
      </w:r>
      <w:proofErr w:type="spellEnd"/>
      <w:r w:rsidRPr="00343503">
        <w:rPr>
          <w:b/>
        </w:rPr>
        <w:t xml:space="preserve"> поставки товар</w:t>
      </w:r>
      <w:r w:rsidRPr="00343503">
        <w:rPr>
          <w:b/>
          <w:lang w:val="uk-UA"/>
        </w:rPr>
        <w:t>у та</w:t>
      </w:r>
      <w:r w:rsidRPr="00343503">
        <w:rPr>
          <w:b/>
        </w:rPr>
        <w:t xml:space="preserve"> </w:t>
      </w:r>
      <w:r w:rsidRPr="00343503">
        <w:rPr>
          <w:b/>
          <w:lang w:val="uk-UA"/>
        </w:rPr>
        <w:t>в</w:t>
      </w:r>
      <w:proofErr w:type="spellStart"/>
      <w:r w:rsidRPr="00343503">
        <w:rPr>
          <w:b/>
        </w:rPr>
        <w:t>имоги</w:t>
      </w:r>
      <w:proofErr w:type="spellEnd"/>
      <w:r w:rsidRPr="00343503">
        <w:rPr>
          <w:b/>
        </w:rPr>
        <w:t xml:space="preserve"> до предмета </w:t>
      </w:r>
      <w:proofErr w:type="spellStart"/>
      <w:r w:rsidRPr="00343503">
        <w:rPr>
          <w:b/>
        </w:rPr>
        <w:t>закупівлі</w:t>
      </w:r>
      <w:proofErr w:type="spellEnd"/>
      <w:r w:rsidRPr="00343503">
        <w:rPr>
          <w:b/>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343503" w:rsidRPr="00343503" w:rsidTr="005E4E67">
        <w:tc>
          <w:tcPr>
            <w:tcW w:w="512"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b/>
                <w:sz w:val="20"/>
                <w:szCs w:val="20"/>
                <w:lang w:val="uk-UA" w:eastAsia="zh-CN"/>
              </w:rPr>
            </w:pPr>
            <w:r w:rsidRPr="00343503">
              <w:rPr>
                <w:b/>
                <w:sz w:val="20"/>
                <w:szCs w:val="20"/>
                <w:lang w:val="uk-UA" w:eastAsia="zh-CN"/>
              </w:rPr>
              <w:t>№ з/п</w:t>
            </w:r>
          </w:p>
        </w:tc>
        <w:tc>
          <w:tcPr>
            <w:tcW w:w="1936"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b/>
                <w:sz w:val="20"/>
                <w:szCs w:val="20"/>
                <w:lang w:val="uk-UA" w:eastAsia="zh-CN"/>
              </w:rPr>
            </w:pPr>
            <w:r w:rsidRPr="00343503">
              <w:rPr>
                <w:b/>
                <w:sz w:val="20"/>
                <w:szCs w:val="20"/>
                <w:lang w:val="uk-UA" w:eastAsia="zh-CN"/>
              </w:rPr>
              <w:t>Найменування</w:t>
            </w:r>
          </w:p>
        </w:tc>
        <w:tc>
          <w:tcPr>
            <w:tcW w:w="5580"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b/>
                <w:sz w:val="20"/>
                <w:szCs w:val="20"/>
                <w:lang w:val="uk-UA" w:eastAsia="zh-CN"/>
              </w:rPr>
            </w:pPr>
            <w:r w:rsidRPr="00343503">
              <w:rPr>
                <w:b/>
                <w:sz w:val="20"/>
                <w:szCs w:val="20"/>
                <w:lang w:val="uk-UA" w:eastAsia="zh-CN"/>
              </w:rPr>
              <w:t>Технічні, якісні характеристики (опис)</w:t>
            </w:r>
          </w:p>
        </w:tc>
        <w:tc>
          <w:tcPr>
            <w:tcW w:w="900" w:type="dxa"/>
            <w:shd w:val="clear" w:color="auto" w:fill="auto"/>
            <w:vAlign w:val="center"/>
          </w:tcPr>
          <w:p w:rsidR="00343503" w:rsidRPr="00343503" w:rsidRDefault="00343503" w:rsidP="00343503">
            <w:pPr>
              <w:widowControl w:val="0"/>
              <w:autoSpaceDE w:val="0"/>
              <w:autoSpaceDN w:val="0"/>
              <w:adjustRightInd w:val="0"/>
              <w:jc w:val="center"/>
              <w:textAlignment w:val="baseline"/>
              <w:rPr>
                <w:b/>
                <w:sz w:val="20"/>
                <w:szCs w:val="20"/>
                <w:lang w:val="uk-UA" w:eastAsia="ar-SA"/>
              </w:rPr>
            </w:pPr>
            <w:r w:rsidRPr="00343503">
              <w:rPr>
                <w:b/>
                <w:sz w:val="20"/>
                <w:szCs w:val="20"/>
                <w:lang w:val="uk-UA" w:eastAsia="ar-SA"/>
              </w:rPr>
              <w:t>Один. вимір.</w:t>
            </w:r>
          </w:p>
        </w:tc>
        <w:tc>
          <w:tcPr>
            <w:tcW w:w="900" w:type="dxa"/>
            <w:shd w:val="clear" w:color="auto" w:fill="auto"/>
            <w:vAlign w:val="center"/>
          </w:tcPr>
          <w:p w:rsidR="00343503" w:rsidRPr="00343503" w:rsidRDefault="00343503" w:rsidP="00343503">
            <w:pPr>
              <w:widowControl w:val="0"/>
              <w:autoSpaceDE w:val="0"/>
              <w:autoSpaceDN w:val="0"/>
              <w:adjustRightInd w:val="0"/>
              <w:jc w:val="center"/>
              <w:textAlignment w:val="baseline"/>
              <w:rPr>
                <w:b/>
                <w:sz w:val="20"/>
                <w:szCs w:val="20"/>
                <w:lang w:val="uk-UA" w:eastAsia="ar-SA"/>
              </w:rPr>
            </w:pPr>
            <w:r w:rsidRPr="00343503">
              <w:rPr>
                <w:b/>
                <w:sz w:val="20"/>
                <w:szCs w:val="20"/>
                <w:lang w:val="uk-UA" w:eastAsia="ar-SA"/>
              </w:rPr>
              <w:t>Кіл-</w:t>
            </w:r>
            <w:proofErr w:type="spellStart"/>
            <w:r w:rsidRPr="00343503">
              <w:rPr>
                <w:b/>
                <w:sz w:val="20"/>
                <w:szCs w:val="20"/>
                <w:lang w:val="uk-UA" w:eastAsia="ar-SA"/>
              </w:rPr>
              <w:t>ть</w:t>
            </w:r>
            <w:proofErr w:type="spellEnd"/>
          </w:p>
        </w:tc>
      </w:tr>
      <w:tr w:rsidR="00343503" w:rsidRPr="00343503" w:rsidTr="005E4E67">
        <w:tc>
          <w:tcPr>
            <w:tcW w:w="512" w:type="dxa"/>
            <w:shd w:val="clear" w:color="auto" w:fill="auto"/>
          </w:tcPr>
          <w:p w:rsidR="00343503" w:rsidRPr="00343503" w:rsidRDefault="00343503" w:rsidP="00343503">
            <w:pPr>
              <w:widowControl w:val="0"/>
              <w:suppressAutoHyphens/>
              <w:autoSpaceDE w:val="0"/>
              <w:autoSpaceDN w:val="0"/>
              <w:adjustRightInd w:val="0"/>
              <w:contextualSpacing/>
              <w:jc w:val="center"/>
              <w:rPr>
                <w:b/>
                <w:lang w:val="uk-UA" w:eastAsia="zh-CN"/>
              </w:rPr>
            </w:pPr>
            <w:r w:rsidRPr="00343503">
              <w:rPr>
                <w:b/>
                <w:lang w:val="uk-UA" w:eastAsia="zh-CN"/>
              </w:rPr>
              <w:t>1</w:t>
            </w:r>
          </w:p>
        </w:tc>
        <w:tc>
          <w:tcPr>
            <w:tcW w:w="1936" w:type="dxa"/>
            <w:shd w:val="clear" w:color="auto" w:fill="auto"/>
          </w:tcPr>
          <w:p w:rsidR="00343503" w:rsidRPr="00343503" w:rsidRDefault="00343503" w:rsidP="00343503">
            <w:pPr>
              <w:widowControl w:val="0"/>
              <w:suppressAutoHyphens/>
              <w:autoSpaceDE w:val="0"/>
              <w:autoSpaceDN w:val="0"/>
              <w:adjustRightInd w:val="0"/>
              <w:contextualSpacing/>
              <w:rPr>
                <w:b/>
                <w:lang w:val="uk-UA" w:eastAsia="zh-CN"/>
              </w:rPr>
            </w:pPr>
            <w:r w:rsidRPr="00343503">
              <w:rPr>
                <w:b/>
                <w:color w:val="000000"/>
              </w:rPr>
              <w:t xml:space="preserve">Оперативна </w:t>
            </w:r>
            <w:proofErr w:type="spellStart"/>
            <w:r w:rsidRPr="00343503">
              <w:rPr>
                <w:b/>
                <w:color w:val="000000"/>
              </w:rPr>
              <w:t>пам'ять</w:t>
            </w:r>
            <w:proofErr w:type="spellEnd"/>
          </w:p>
        </w:tc>
        <w:tc>
          <w:tcPr>
            <w:tcW w:w="5580" w:type="dxa"/>
            <w:shd w:val="clear" w:color="auto" w:fill="auto"/>
          </w:tcPr>
          <w:p w:rsidR="00343503" w:rsidRPr="00343503" w:rsidRDefault="00343503" w:rsidP="00343503">
            <w:pPr>
              <w:jc w:val="both"/>
              <w:rPr>
                <w:b/>
                <w:bCs/>
                <w:sz w:val="22"/>
                <w:szCs w:val="22"/>
                <w:lang w:val="uk-UA"/>
              </w:rPr>
            </w:pPr>
            <w:r w:rsidRPr="00343503">
              <w:rPr>
                <w:b/>
                <w:bCs/>
                <w:sz w:val="22"/>
                <w:szCs w:val="22"/>
                <w:lang w:val="uk-UA"/>
              </w:rPr>
              <w:t>Модель:</w:t>
            </w:r>
            <w:r w:rsidRPr="00343503">
              <w:rPr>
                <w:bCs/>
                <w:sz w:val="22"/>
                <w:szCs w:val="22"/>
                <w:lang w:val="uk-UA"/>
              </w:rPr>
              <w:t xml:space="preserve"> </w:t>
            </w:r>
            <w:proofErr w:type="spellStart"/>
            <w:r w:rsidRPr="00343503">
              <w:rPr>
                <w:bCs/>
                <w:sz w:val="22"/>
                <w:szCs w:val="22"/>
              </w:rPr>
              <w:t>Kingston</w:t>
            </w:r>
            <w:proofErr w:type="spellEnd"/>
            <w:r w:rsidRPr="00343503">
              <w:rPr>
                <w:bCs/>
                <w:sz w:val="22"/>
                <w:szCs w:val="22"/>
                <w:lang w:val="uk-UA"/>
              </w:rPr>
              <w:t xml:space="preserve"> </w:t>
            </w:r>
            <w:proofErr w:type="spellStart"/>
            <w:r w:rsidRPr="00343503">
              <w:rPr>
                <w:bCs/>
                <w:sz w:val="22"/>
                <w:szCs w:val="22"/>
              </w:rPr>
              <w:t>Fury</w:t>
            </w:r>
            <w:proofErr w:type="spellEnd"/>
            <w:r w:rsidRPr="00343503">
              <w:rPr>
                <w:bCs/>
                <w:sz w:val="22"/>
                <w:szCs w:val="22"/>
                <w:lang w:val="uk-UA"/>
              </w:rPr>
              <w:t xml:space="preserve"> </w:t>
            </w:r>
            <w:r w:rsidRPr="00343503">
              <w:rPr>
                <w:bCs/>
                <w:sz w:val="22"/>
                <w:szCs w:val="22"/>
              </w:rPr>
              <w:t>DDR</w:t>
            </w:r>
            <w:r w:rsidRPr="00343503">
              <w:rPr>
                <w:bCs/>
                <w:sz w:val="22"/>
                <w:szCs w:val="22"/>
                <w:lang w:val="uk-UA"/>
              </w:rPr>
              <w:t xml:space="preserve">4-3200 8192 </w:t>
            </w:r>
            <w:r w:rsidRPr="00343503">
              <w:rPr>
                <w:bCs/>
                <w:sz w:val="22"/>
                <w:szCs w:val="22"/>
              </w:rPr>
              <w:t>MB</w:t>
            </w:r>
            <w:r w:rsidRPr="00343503">
              <w:rPr>
                <w:bCs/>
                <w:sz w:val="22"/>
                <w:szCs w:val="22"/>
                <w:lang w:val="uk-UA"/>
              </w:rPr>
              <w:t xml:space="preserve"> </w:t>
            </w:r>
            <w:r w:rsidRPr="00343503">
              <w:rPr>
                <w:bCs/>
                <w:sz w:val="22"/>
                <w:szCs w:val="22"/>
              </w:rPr>
              <w:t>PC</w:t>
            </w:r>
            <w:r w:rsidRPr="00343503">
              <w:rPr>
                <w:bCs/>
                <w:sz w:val="22"/>
                <w:szCs w:val="22"/>
                <w:lang w:val="uk-UA"/>
              </w:rPr>
              <w:t xml:space="preserve">4-25600 </w:t>
            </w:r>
            <w:proofErr w:type="spellStart"/>
            <w:r w:rsidRPr="00343503">
              <w:rPr>
                <w:bCs/>
                <w:sz w:val="22"/>
                <w:szCs w:val="22"/>
              </w:rPr>
              <w:t>Beast</w:t>
            </w:r>
            <w:proofErr w:type="spellEnd"/>
            <w:r w:rsidRPr="00343503">
              <w:rPr>
                <w:bCs/>
                <w:sz w:val="22"/>
                <w:szCs w:val="22"/>
                <w:lang w:val="uk-UA"/>
              </w:rPr>
              <w:t xml:space="preserve"> </w:t>
            </w:r>
            <w:proofErr w:type="spellStart"/>
            <w:r w:rsidRPr="00343503">
              <w:rPr>
                <w:bCs/>
                <w:sz w:val="22"/>
                <w:szCs w:val="22"/>
              </w:rPr>
              <w:t>Black</w:t>
            </w:r>
            <w:proofErr w:type="spellEnd"/>
            <w:r w:rsidRPr="00343503">
              <w:rPr>
                <w:bCs/>
                <w:sz w:val="22"/>
                <w:szCs w:val="22"/>
                <w:lang w:val="uk-UA"/>
              </w:rPr>
              <w:t xml:space="preserve"> (</w:t>
            </w:r>
            <w:r w:rsidRPr="00343503">
              <w:rPr>
                <w:bCs/>
                <w:sz w:val="22"/>
                <w:szCs w:val="22"/>
              </w:rPr>
              <w:t>KF</w:t>
            </w:r>
            <w:r w:rsidRPr="00343503">
              <w:rPr>
                <w:bCs/>
                <w:sz w:val="22"/>
                <w:szCs w:val="22"/>
                <w:lang w:val="uk-UA"/>
              </w:rPr>
              <w:t>432</w:t>
            </w:r>
            <w:r w:rsidRPr="00343503">
              <w:rPr>
                <w:bCs/>
                <w:sz w:val="22"/>
                <w:szCs w:val="22"/>
              </w:rPr>
              <w:t>C</w:t>
            </w:r>
            <w:r w:rsidRPr="00343503">
              <w:rPr>
                <w:bCs/>
                <w:sz w:val="22"/>
                <w:szCs w:val="22"/>
                <w:lang w:val="uk-UA"/>
              </w:rPr>
              <w:t>16</w:t>
            </w:r>
            <w:r w:rsidRPr="00343503">
              <w:rPr>
                <w:bCs/>
                <w:sz w:val="22"/>
                <w:szCs w:val="22"/>
              </w:rPr>
              <w:t>BB</w:t>
            </w:r>
            <w:r w:rsidRPr="00343503">
              <w:rPr>
                <w:bCs/>
                <w:sz w:val="22"/>
                <w:szCs w:val="22"/>
                <w:lang w:val="uk-UA"/>
              </w:rPr>
              <w:t xml:space="preserve">/8) </w:t>
            </w:r>
            <w:r w:rsidRPr="00343503">
              <w:rPr>
                <w:b/>
                <w:bCs/>
                <w:sz w:val="22"/>
                <w:szCs w:val="22"/>
                <w:lang w:val="uk-UA"/>
              </w:rPr>
              <w:t xml:space="preserve">або еквівалент* </w:t>
            </w:r>
          </w:p>
          <w:p w:rsidR="00343503" w:rsidRPr="00343503" w:rsidRDefault="00343503" w:rsidP="00343503">
            <w:pPr>
              <w:jc w:val="both"/>
              <w:rPr>
                <w:bCs/>
                <w:sz w:val="22"/>
                <w:szCs w:val="22"/>
              </w:rPr>
            </w:pPr>
            <w:proofErr w:type="spellStart"/>
            <w:r w:rsidRPr="00343503">
              <w:rPr>
                <w:bCs/>
                <w:sz w:val="22"/>
                <w:szCs w:val="22"/>
              </w:rPr>
              <w:t>Обсяг</w:t>
            </w:r>
            <w:proofErr w:type="spellEnd"/>
            <w:r w:rsidRPr="00343503">
              <w:rPr>
                <w:bCs/>
                <w:sz w:val="22"/>
                <w:szCs w:val="22"/>
              </w:rPr>
              <w:t xml:space="preserve">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8 ГБ; </w:t>
            </w:r>
          </w:p>
          <w:p w:rsidR="00343503" w:rsidRPr="00343503" w:rsidRDefault="00343503" w:rsidP="00343503">
            <w:pPr>
              <w:jc w:val="both"/>
              <w:rPr>
                <w:bCs/>
                <w:sz w:val="22"/>
                <w:szCs w:val="22"/>
              </w:rPr>
            </w:pPr>
            <w:r w:rsidRPr="00343503">
              <w:rPr>
                <w:bCs/>
                <w:sz w:val="22"/>
                <w:szCs w:val="22"/>
              </w:rPr>
              <w:t xml:space="preserve">Тип </w:t>
            </w:r>
            <w:proofErr w:type="spellStart"/>
            <w:r w:rsidRPr="00343503">
              <w:rPr>
                <w:bCs/>
                <w:sz w:val="22"/>
                <w:szCs w:val="22"/>
              </w:rPr>
              <w:t>пам'яті</w:t>
            </w:r>
            <w:proofErr w:type="spellEnd"/>
            <w:r w:rsidRPr="00343503">
              <w:rPr>
                <w:bCs/>
                <w:sz w:val="22"/>
                <w:szCs w:val="22"/>
              </w:rPr>
              <w:t xml:space="preserve"> DDR4 SDRAM; </w:t>
            </w:r>
          </w:p>
          <w:p w:rsidR="00343503" w:rsidRPr="00343503" w:rsidRDefault="00343503" w:rsidP="00343503">
            <w:pPr>
              <w:jc w:val="both"/>
              <w:rPr>
                <w:bCs/>
                <w:sz w:val="22"/>
                <w:szCs w:val="22"/>
              </w:rPr>
            </w:pPr>
            <w:r w:rsidRPr="00343503">
              <w:rPr>
                <w:bCs/>
                <w:sz w:val="22"/>
                <w:szCs w:val="22"/>
              </w:rPr>
              <w:t xml:space="preserve">Частота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3200 МГц; </w:t>
            </w:r>
          </w:p>
          <w:p w:rsidR="00343503" w:rsidRPr="00343503" w:rsidRDefault="00343503" w:rsidP="00343503">
            <w:pPr>
              <w:jc w:val="both"/>
              <w:rPr>
                <w:bCs/>
                <w:sz w:val="22"/>
                <w:szCs w:val="22"/>
              </w:rPr>
            </w:pPr>
            <w:proofErr w:type="spellStart"/>
            <w:r w:rsidRPr="00343503">
              <w:rPr>
                <w:bCs/>
                <w:sz w:val="22"/>
                <w:szCs w:val="22"/>
              </w:rPr>
              <w:t>Ефективна</w:t>
            </w:r>
            <w:proofErr w:type="spellEnd"/>
            <w:r w:rsidRPr="00343503">
              <w:rPr>
                <w:bCs/>
                <w:sz w:val="22"/>
                <w:szCs w:val="22"/>
              </w:rPr>
              <w:t xml:space="preserve"> </w:t>
            </w:r>
            <w:proofErr w:type="spellStart"/>
            <w:r w:rsidRPr="00343503">
              <w:rPr>
                <w:bCs/>
                <w:sz w:val="22"/>
                <w:szCs w:val="22"/>
              </w:rPr>
              <w:t>пропускна</w:t>
            </w:r>
            <w:proofErr w:type="spellEnd"/>
            <w:r w:rsidRPr="00343503">
              <w:rPr>
                <w:bCs/>
                <w:sz w:val="22"/>
                <w:szCs w:val="22"/>
              </w:rPr>
              <w:t xml:space="preserve"> </w:t>
            </w:r>
            <w:proofErr w:type="spellStart"/>
            <w:r w:rsidRPr="00343503">
              <w:rPr>
                <w:bCs/>
                <w:sz w:val="22"/>
                <w:szCs w:val="22"/>
              </w:rPr>
              <w:t>здатність</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25600 МБ/с; Схема </w:t>
            </w:r>
            <w:proofErr w:type="spellStart"/>
            <w:r w:rsidRPr="00343503">
              <w:rPr>
                <w:bCs/>
                <w:sz w:val="22"/>
                <w:szCs w:val="22"/>
              </w:rPr>
              <w:t>таймінгів</w:t>
            </w:r>
            <w:proofErr w:type="spellEnd"/>
            <w:r w:rsidRPr="00343503">
              <w:rPr>
                <w:bCs/>
                <w:sz w:val="22"/>
                <w:szCs w:val="22"/>
              </w:rPr>
              <w:t xml:space="preserve">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гірше</w:t>
            </w:r>
            <w:proofErr w:type="spellEnd"/>
            <w:r w:rsidRPr="00343503">
              <w:rPr>
                <w:bCs/>
                <w:sz w:val="22"/>
                <w:szCs w:val="22"/>
              </w:rPr>
              <w:t xml:space="preserve"> CL16-18-18; </w:t>
            </w:r>
            <w:proofErr w:type="spellStart"/>
            <w:r w:rsidRPr="00343503">
              <w:rPr>
                <w:bCs/>
                <w:sz w:val="22"/>
                <w:szCs w:val="22"/>
              </w:rPr>
              <w:t>Призначення</w:t>
            </w:r>
            <w:proofErr w:type="spellEnd"/>
            <w:r w:rsidRPr="00343503">
              <w:rPr>
                <w:bCs/>
                <w:sz w:val="22"/>
                <w:szCs w:val="22"/>
              </w:rPr>
              <w:t xml:space="preserve"> - для </w:t>
            </w:r>
            <w:proofErr w:type="spellStart"/>
            <w:r w:rsidRPr="00343503">
              <w:rPr>
                <w:bCs/>
                <w:sz w:val="22"/>
                <w:szCs w:val="22"/>
              </w:rPr>
              <w:t>настільних</w:t>
            </w:r>
            <w:proofErr w:type="spellEnd"/>
            <w:r w:rsidRPr="00343503">
              <w:rPr>
                <w:bCs/>
                <w:sz w:val="22"/>
                <w:szCs w:val="22"/>
              </w:rPr>
              <w:t xml:space="preserve"> ПК; </w:t>
            </w:r>
          </w:p>
          <w:p w:rsidR="00343503" w:rsidRPr="00343503" w:rsidRDefault="00343503" w:rsidP="00343503">
            <w:pPr>
              <w:jc w:val="both"/>
              <w:rPr>
                <w:bCs/>
                <w:sz w:val="22"/>
                <w:szCs w:val="22"/>
              </w:rPr>
            </w:pPr>
            <w:proofErr w:type="spellStart"/>
            <w:r w:rsidRPr="00343503">
              <w:rPr>
                <w:bCs/>
                <w:sz w:val="22"/>
                <w:szCs w:val="22"/>
              </w:rPr>
              <w:t>Особливості</w:t>
            </w:r>
            <w:proofErr w:type="spellEnd"/>
            <w:r w:rsidRPr="00343503">
              <w:rPr>
                <w:bCs/>
                <w:sz w:val="22"/>
                <w:szCs w:val="22"/>
              </w:rPr>
              <w:t xml:space="preserve"> з </w:t>
            </w:r>
            <w:proofErr w:type="spellStart"/>
            <w:r w:rsidRPr="00343503">
              <w:rPr>
                <w:bCs/>
                <w:sz w:val="22"/>
                <w:szCs w:val="22"/>
              </w:rPr>
              <w:t>радіатором</w:t>
            </w:r>
            <w:proofErr w:type="spellEnd"/>
            <w:r w:rsidRPr="00343503">
              <w:rPr>
                <w:bCs/>
                <w:sz w:val="22"/>
                <w:szCs w:val="22"/>
              </w:rPr>
              <w:t xml:space="preserve"> </w:t>
            </w:r>
            <w:proofErr w:type="spellStart"/>
            <w:r w:rsidRPr="00343503">
              <w:rPr>
                <w:bCs/>
                <w:sz w:val="22"/>
                <w:szCs w:val="22"/>
              </w:rPr>
              <w:t>охолодження</w:t>
            </w:r>
            <w:proofErr w:type="spellEnd"/>
            <w:r w:rsidRPr="00343503">
              <w:rPr>
                <w:bCs/>
                <w:sz w:val="22"/>
                <w:szCs w:val="22"/>
              </w:rPr>
              <w:t xml:space="preserve">; </w:t>
            </w:r>
          </w:p>
          <w:p w:rsidR="00343503" w:rsidRPr="00343503" w:rsidRDefault="00343503" w:rsidP="00343503">
            <w:pPr>
              <w:jc w:val="both"/>
              <w:rPr>
                <w:bCs/>
                <w:sz w:val="22"/>
                <w:szCs w:val="22"/>
              </w:rPr>
            </w:pPr>
            <w:proofErr w:type="spellStart"/>
            <w:r w:rsidRPr="00343503">
              <w:rPr>
                <w:bCs/>
                <w:sz w:val="22"/>
                <w:szCs w:val="22"/>
              </w:rPr>
              <w:t>Гарантія</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24 </w:t>
            </w:r>
            <w:proofErr w:type="spellStart"/>
            <w:r w:rsidRPr="00343503">
              <w:rPr>
                <w:bCs/>
                <w:sz w:val="22"/>
                <w:szCs w:val="22"/>
              </w:rPr>
              <w:t>місяців</w:t>
            </w:r>
            <w:proofErr w:type="spellEnd"/>
            <w:r w:rsidRPr="00343503">
              <w:rPr>
                <w:bCs/>
                <w:sz w:val="22"/>
                <w:szCs w:val="22"/>
              </w:rPr>
              <w:t>.</w:t>
            </w:r>
          </w:p>
        </w:tc>
        <w:tc>
          <w:tcPr>
            <w:tcW w:w="900"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lang w:val="uk-UA" w:eastAsia="zh-CN"/>
              </w:rPr>
            </w:pPr>
            <w:proofErr w:type="spellStart"/>
            <w:r w:rsidRPr="00343503">
              <w:rPr>
                <w:lang w:val="uk-UA" w:eastAsia="zh-CN"/>
              </w:rPr>
              <w:t>шт</w:t>
            </w:r>
            <w:proofErr w:type="spellEnd"/>
          </w:p>
        </w:tc>
        <w:tc>
          <w:tcPr>
            <w:tcW w:w="900"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lang w:val="uk-UA"/>
              </w:rPr>
            </w:pPr>
            <w:r w:rsidRPr="00343503">
              <w:rPr>
                <w:lang w:val="uk-UA"/>
              </w:rPr>
              <w:t>148</w:t>
            </w:r>
          </w:p>
        </w:tc>
      </w:tr>
      <w:tr w:rsidR="00343503" w:rsidRPr="00343503" w:rsidTr="005E4E67">
        <w:tc>
          <w:tcPr>
            <w:tcW w:w="512" w:type="dxa"/>
            <w:shd w:val="clear" w:color="auto" w:fill="auto"/>
          </w:tcPr>
          <w:p w:rsidR="00343503" w:rsidRPr="00343503" w:rsidRDefault="00343503" w:rsidP="00343503">
            <w:pPr>
              <w:widowControl w:val="0"/>
              <w:suppressAutoHyphens/>
              <w:autoSpaceDE w:val="0"/>
              <w:autoSpaceDN w:val="0"/>
              <w:adjustRightInd w:val="0"/>
              <w:contextualSpacing/>
              <w:jc w:val="center"/>
              <w:rPr>
                <w:b/>
                <w:lang w:val="uk-UA" w:eastAsia="zh-CN"/>
              </w:rPr>
            </w:pPr>
            <w:r w:rsidRPr="00343503">
              <w:rPr>
                <w:b/>
                <w:lang w:val="uk-UA" w:eastAsia="zh-CN"/>
              </w:rPr>
              <w:t>2</w:t>
            </w:r>
          </w:p>
        </w:tc>
        <w:tc>
          <w:tcPr>
            <w:tcW w:w="1936" w:type="dxa"/>
            <w:shd w:val="clear" w:color="auto" w:fill="auto"/>
          </w:tcPr>
          <w:p w:rsidR="00343503" w:rsidRPr="00343503" w:rsidRDefault="00343503" w:rsidP="00343503">
            <w:pPr>
              <w:widowControl w:val="0"/>
              <w:suppressAutoHyphens/>
              <w:autoSpaceDE w:val="0"/>
              <w:autoSpaceDN w:val="0"/>
              <w:adjustRightInd w:val="0"/>
              <w:contextualSpacing/>
              <w:rPr>
                <w:b/>
                <w:sz w:val="20"/>
                <w:szCs w:val="20"/>
                <w:lang w:val="uk-UA" w:eastAsia="zh-CN"/>
              </w:rPr>
            </w:pPr>
            <w:r w:rsidRPr="00343503">
              <w:rPr>
                <w:b/>
                <w:color w:val="000000"/>
              </w:rPr>
              <w:t xml:space="preserve">Оперативна </w:t>
            </w:r>
            <w:proofErr w:type="spellStart"/>
            <w:r w:rsidRPr="00343503">
              <w:rPr>
                <w:b/>
                <w:color w:val="000000"/>
              </w:rPr>
              <w:t>пам'ять</w:t>
            </w:r>
            <w:proofErr w:type="spellEnd"/>
          </w:p>
        </w:tc>
        <w:tc>
          <w:tcPr>
            <w:tcW w:w="5580" w:type="dxa"/>
            <w:shd w:val="clear" w:color="auto" w:fill="auto"/>
          </w:tcPr>
          <w:p w:rsidR="00343503" w:rsidRPr="00343503" w:rsidRDefault="00343503" w:rsidP="00343503">
            <w:pPr>
              <w:jc w:val="both"/>
              <w:rPr>
                <w:bCs/>
                <w:sz w:val="22"/>
                <w:szCs w:val="22"/>
                <w:lang w:val="uk-UA"/>
              </w:rPr>
            </w:pPr>
            <w:r w:rsidRPr="00343503">
              <w:rPr>
                <w:b/>
                <w:bCs/>
                <w:sz w:val="22"/>
                <w:szCs w:val="22"/>
                <w:lang w:val="uk-UA"/>
              </w:rPr>
              <w:t>Модель:</w:t>
            </w:r>
            <w:r w:rsidRPr="00343503">
              <w:rPr>
                <w:bCs/>
                <w:sz w:val="22"/>
                <w:szCs w:val="22"/>
                <w:lang w:val="uk-UA"/>
              </w:rPr>
              <w:t xml:space="preserve"> </w:t>
            </w:r>
            <w:proofErr w:type="spellStart"/>
            <w:r w:rsidRPr="00343503">
              <w:rPr>
                <w:bCs/>
                <w:sz w:val="22"/>
                <w:szCs w:val="22"/>
              </w:rPr>
              <w:t>HyperX</w:t>
            </w:r>
            <w:proofErr w:type="spellEnd"/>
            <w:r w:rsidRPr="00343503">
              <w:rPr>
                <w:bCs/>
                <w:sz w:val="22"/>
                <w:szCs w:val="22"/>
                <w:lang w:val="uk-UA"/>
              </w:rPr>
              <w:t xml:space="preserve"> </w:t>
            </w:r>
            <w:r w:rsidRPr="00343503">
              <w:rPr>
                <w:bCs/>
                <w:sz w:val="22"/>
                <w:szCs w:val="22"/>
              </w:rPr>
              <w:t>DDR</w:t>
            </w:r>
            <w:r w:rsidRPr="00343503">
              <w:rPr>
                <w:bCs/>
                <w:sz w:val="22"/>
                <w:szCs w:val="22"/>
                <w:lang w:val="uk-UA"/>
              </w:rPr>
              <w:t>3-1866 4096</w:t>
            </w:r>
            <w:r w:rsidRPr="00343503">
              <w:rPr>
                <w:bCs/>
                <w:sz w:val="22"/>
                <w:szCs w:val="22"/>
              </w:rPr>
              <w:t>MB</w:t>
            </w:r>
            <w:r w:rsidRPr="00343503">
              <w:rPr>
                <w:bCs/>
                <w:sz w:val="22"/>
                <w:szCs w:val="22"/>
                <w:lang w:val="uk-UA"/>
              </w:rPr>
              <w:t xml:space="preserve"> </w:t>
            </w:r>
            <w:r w:rsidRPr="00343503">
              <w:rPr>
                <w:bCs/>
                <w:sz w:val="22"/>
                <w:szCs w:val="22"/>
              </w:rPr>
              <w:t>PC</w:t>
            </w:r>
            <w:r w:rsidRPr="00343503">
              <w:rPr>
                <w:bCs/>
                <w:sz w:val="22"/>
                <w:szCs w:val="22"/>
                <w:lang w:val="uk-UA"/>
              </w:rPr>
              <w:t xml:space="preserve">3-14900 </w:t>
            </w:r>
            <w:r w:rsidRPr="00343503">
              <w:rPr>
                <w:bCs/>
                <w:sz w:val="22"/>
                <w:szCs w:val="22"/>
              </w:rPr>
              <w:t>FURY</w:t>
            </w:r>
            <w:r w:rsidRPr="00343503">
              <w:rPr>
                <w:bCs/>
                <w:sz w:val="22"/>
                <w:szCs w:val="22"/>
                <w:lang w:val="uk-UA"/>
              </w:rPr>
              <w:t xml:space="preserve"> </w:t>
            </w:r>
            <w:proofErr w:type="spellStart"/>
            <w:r w:rsidRPr="00343503">
              <w:rPr>
                <w:bCs/>
                <w:sz w:val="22"/>
                <w:szCs w:val="22"/>
              </w:rPr>
              <w:t>Black</w:t>
            </w:r>
            <w:proofErr w:type="spellEnd"/>
            <w:r w:rsidRPr="00343503">
              <w:rPr>
                <w:bCs/>
                <w:sz w:val="22"/>
                <w:szCs w:val="22"/>
                <w:lang w:val="uk-UA"/>
              </w:rPr>
              <w:t xml:space="preserve"> (</w:t>
            </w:r>
            <w:r w:rsidRPr="00343503">
              <w:rPr>
                <w:bCs/>
                <w:sz w:val="22"/>
                <w:szCs w:val="22"/>
              </w:rPr>
              <w:t>HX</w:t>
            </w:r>
            <w:r w:rsidRPr="00343503">
              <w:rPr>
                <w:bCs/>
                <w:sz w:val="22"/>
                <w:szCs w:val="22"/>
                <w:lang w:val="uk-UA"/>
              </w:rPr>
              <w:t>318</w:t>
            </w:r>
            <w:r w:rsidRPr="00343503">
              <w:rPr>
                <w:bCs/>
                <w:sz w:val="22"/>
                <w:szCs w:val="22"/>
              </w:rPr>
              <w:t>C</w:t>
            </w:r>
            <w:r w:rsidRPr="00343503">
              <w:rPr>
                <w:bCs/>
                <w:sz w:val="22"/>
                <w:szCs w:val="22"/>
                <w:lang w:val="uk-UA"/>
              </w:rPr>
              <w:t>10</w:t>
            </w:r>
            <w:r w:rsidRPr="00343503">
              <w:rPr>
                <w:bCs/>
                <w:sz w:val="22"/>
                <w:szCs w:val="22"/>
              </w:rPr>
              <w:t>FB</w:t>
            </w:r>
            <w:r w:rsidRPr="00343503">
              <w:rPr>
                <w:bCs/>
                <w:sz w:val="22"/>
                <w:szCs w:val="22"/>
                <w:lang w:val="uk-UA"/>
              </w:rPr>
              <w:t xml:space="preserve">/4) </w:t>
            </w:r>
            <w:r w:rsidRPr="00343503">
              <w:rPr>
                <w:b/>
                <w:bCs/>
                <w:sz w:val="22"/>
                <w:szCs w:val="22"/>
                <w:lang w:val="uk-UA"/>
              </w:rPr>
              <w:t>або еквівалент</w:t>
            </w:r>
            <w:r w:rsidRPr="00343503">
              <w:rPr>
                <w:bCs/>
                <w:sz w:val="22"/>
                <w:szCs w:val="22"/>
                <w:lang w:val="uk-UA"/>
              </w:rPr>
              <w:t xml:space="preserve">* </w:t>
            </w:r>
          </w:p>
          <w:p w:rsidR="00343503" w:rsidRPr="00343503" w:rsidRDefault="00343503" w:rsidP="00343503">
            <w:pPr>
              <w:jc w:val="both"/>
              <w:rPr>
                <w:bCs/>
                <w:sz w:val="22"/>
                <w:szCs w:val="22"/>
              </w:rPr>
            </w:pPr>
            <w:proofErr w:type="spellStart"/>
            <w:r w:rsidRPr="00343503">
              <w:rPr>
                <w:bCs/>
                <w:sz w:val="22"/>
                <w:szCs w:val="22"/>
              </w:rPr>
              <w:t>Обсяг</w:t>
            </w:r>
            <w:proofErr w:type="spellEnd"/>
            <w:r w:rsidRPr="00343503">
              <w:rPr>
                <w:bCs/>
                <w:sz w:val="22"/>
                <w:szCs w:val="22"/>
              </w:rPr>
              <w:t xml:space="preserve">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4 ГБ; </w:t>
            </w:r>
          </w:p>
          <w:p w:rsidR="00343503" w:rsidRPr="00343503" w:rsidRDefault="00343503" w:rsidP="00343503">
            <w:pPr>
              <w:jc w:val="both"/>
              <w:rPr>
                <w:bCs/>
                <w:sz w:val="22"/>
                <w:szCs w:val="22"/>
              </w:rPr>
            </w:pPr>
            <w:r w:rsidRPr="00343503">
              <w:rPr>
                <w:bCs/>
                <w:sz w:val="22"/>
                <w:szCs w:val="22"/>
              </w:rPr>
              <w:t xml:space="preserve">Тип </w:t>
            </w:r>
            <w:proofErr w:type="spellStart"/>
            <w:r w:rsidRPr="00343503">
              <w:rPr>
                <w:bCs/>
                <w:sz w:val="22"/>
                <w:szCs w:val="22"/>
              </w:rPr>
              <w:t>пам'яті</w:t>
            </w:r>
            <w:proofErr w:type="spellEnd"/>
            <w:r w:rsidRPr="00343503">
              <w:rPr>
                <w:bCs/>
                <w:sz w:val="22"/>
                <w:szCs w:val="22"/>
              </w:rPr>
              <w:t xml:space="preserve"> DDR3 SDRAM; </w:t>
            </w:r>
          </w:p>
          <w:p w:rsidR="00343503" w:rsidRPr="00343503" w:rsidRDefault="00343503" w:rsidP="00343503">
            <w:pPr>
              <w:jc w:val="both"/>
              <w:rPr>
                <w:bCs/>
                <w:sz w:val="22"/>
                <w:szCs w:val="22"/>
              </w:rPr>
            </w:pPr>
            <w:r w:rsidRPr="00343503">
              <w:rPr>
                <w:bCs/>
                <w:sz w:val="22"/>
                <w:szCs w:val="22"/>
              </w:rPr>
              <w:t xml:space="preserve">Частота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1866 МГц; </w:t>
            </w:r>
          </w:p>
          <w:p w:rsidR="00343503" w:rsidRPr="00343503" w:rsidRDefault="00343503" w:rsidP="00343503">
            <w:pPr>
              <w:jc w:val="both"/>
              <w:rPr>
                <w:bCs/>
                <w:sz w:val="22"/>
                <w:szCs w:val="22"/>
              </w:rPr>
            </w:pPr>
            <w:proofErr w:type="spellStart"/>
            <w:r w:rsidRPr="00343503">
              <w:rPr>
                <w:bCs/>
                <w:sz w:val="22"/>
                <w:szCs w:val="22"/>
              </w:rPr>
              <w:t>Ефективна</w:t>
            </w:r>
            <w:proofErr w:type="spellEnd"/>
            <w:r w:rsidRPr="00343503">
              <w:rPr>
                <w:bCs/>
                <w:sz w:val="22"/>
                <w:szCs w:val="22"/>
              </w:rPr>
              <w:t xml:space="preserve"> </w:t>
            </w:r>
            <w:proofErr w:type="spellStart"/>
            <w:r w:rsidRPr="00343503">
              <w:rPr>
                <w:bCs/>
                <w:sz w:val="22"/>
                <w:szCs w:val="22"/>
              </w:rPr>
              <w:t>пропускна</w:t>
            </w:r>
            <w:proofErr w:type="spellEnd"/>
            <w:r w:rsidRPr="00343503">
              <w:rPr>
                <w:bCs/>
                <w:sz w:val="22"/>
                <w:szCs w:val="22"/>
              </w:rPr>
              <w:t xml:space="preserve"> </w:t>
            </w:r>
            <w:proofErr w:type="spellStart"/>
            <w:r w:rsidRPr="00343503">
              <w:rPr>
                <w:bCs/>
                <w:sz w:val="22"/>
                <w:szCs w:val="22"/>
              </w:rPr>
              <w:t>здатність</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14933 MБ/сек; Схема </w:t>
            </w:r>
            <w:proofErr w:type="spellStart"/>
            <w:r w:rsidRPr="00343503">
              <w:rPr>
                <w:bCs/>
                <w:sz w:val="22"/>
                <w:szCs w:val="22"/>
              </w:rPr>
              <w:t>таймінгів</w:t>
            </w:r>
            <w:proofErr w:type="spellEnd"/>
            <w:r w:rsidRPr="00343503">
              <w:rPr>
                <w:bCs/>
                <w:sz w:val="22"/>
                <w:szCs w:val="22"/>
              </w:rPr>
              <w:t xml:space="preserve"> </w:t>
            </w:r>
            <w:proofErr w:type="spellStart"/>
            <w:r w:rsidRPr="00343503">
              <w:rPr>
                <w:bCs/>
                <w:sz w:val="22"/>
                <w:szCs w:val="22"/>
              </w:rPr>
              <w:t>пам'яті</w:t>
            </w:r>
            <w:proofErr w:type="spellEnd"/>
            <w:r w:rsidRPr="00343503">
              <w:rPr>
                <w:bCs/>
                <w:sz w:val="22"/>
                <w:szCs w:val="22"/>
              </w:rPr>
              <w:t xml:space="preserve"> не </w:t>
            </w:r>
            <w:proofErr w:type="spellStart"/>
            <w:r w:rsidRPr="00343503">
              <w:rPr>
                <w:bCs/>
                <w:sz w:val="22"/>
                <w:szCs w:val="22"/>
              </w:rPr>
              <w:t>гірше</w:t>
            </w:r>
            <w:proofErr w:type="spellEnd"/>
            <w:r w:rsidRPr="00343503">
              <w:rPr>
                <w:bCs/>
                <w:sz w:val="22"/>
                <w:szCs w:val="22"/>
              </w:rPr>
              <w:t xml:space="preserve"> 10-11-10; </w:t>
            </w:r>
          </w:p>
          <w:p w:rsidR="00343503" w:rsidRPr="00343503" w:rsidRDefault="00343503" w:rsidP="00343503">
            <w:pPr>
              <w:jc w:val="both"/>
              <w:rPr>
                <w:bCs/>
                <w:sz w:val="22"/>
                <w:szCs w:val="22"/>
              </w:rPr>
            </w:pPr>
            <w:proofErr w:type="spellStart"/>
            <w:r w:rsidRPr="00343503">
              <w:rPr>
                <w:bCs/>
                <w:sz w:val="22"/>
                <w:szCs w:val="22"/>
              </w:rPr>
              <w:t>Призначення</w:t>
            </w:r>
            <w:proofErr w:type="spellEnd"/>
            <w:r w:rsidRPr="00343503">
              <w:rPr>
                <w:bCs/>
                <w:sz w:val="22"/>
                <w:szCs w:val="22"/>
              </w:rPr>
              <w:t xml:space="preserve"> - для </w:t>
            </w:r>
            <w:proofErr w:type="spellStart"/>
            <w:r w:rsidRPr="00343503">
              <w:rPr>
                <w:bCs/>
                <w:sz w:val="22"/>
                <w:szCs w:val="22"/>
              </w:rPr>
              <w:t>настільних</w:t>
            </w:r>
            <w:proofErr w:type="spellEnd"/>
            <w:r w:rsidRPr="00343503">
              <w:rPr>
                <w:bCs/>
                <w:sz w:val="22"/>
                <w:szCs w:val="22"/>
              </w:rPr>
              <w:t xml:space="preserve"> ПК; </w:t>
            </w:r>
          </w:p>
          <w:p w:rsidR="00343503" w:rsidRPr="00343503" w:rsidRDefault="00343503" w:rsidP="00343503">
            <w:pPr>
              <w:jc w:val="both"/>
              <w:rPr>
                <w:bCs/>
                <w:sz w:val="22"/>
                <w:szCs w:val="22"/>
              </w:rPr>
            </w:pPr>
            <w:proofErr w:type="spellStart"/>
            <w:r w:rsidRPr="00343503">
              <w:rPr>
                <w:bCs/>
                <w:sz w:val="22"/>
                <w:szCs w:val="22"/>
              </w:rPr>
              <w:t>Особливості</w:t>
            </w:r>
            <w:proofErr w:type="spellEnd"/>
            <w:r w:rsidRPr="00343503">
              <w:rPr>
                <w:bCs/>
                <w:sz w:val="22"/>
                <w:szCs w:val="22"/>
              </w:rPr>
              <w:t xml:space="preserve"> з </w:t>
            </w:r>
            <w:proofErr w:type="spellStart"/>
            <w:r w:rsidRPr="00343503">
              <w:rPr>
                <w:bCs/>
                <w:sz w:val="22"/>
                <w:szCs w:val="22"/>
              </w:rPr>
              <w:t>радіатором</w:t>
            </w:r>
            <w:proofErr w:type="spellEnd"/>
            <w:r w:rsidRPr="00343503">
              <w:rPr>
                <w:bCs/>
                <w:sz w:val="22"/>
                <w:szCs w:val="22"/>
              </w:rPr>
              <w:t xml:space="preserve"> </w:t>
            </w:r>
            <w:proofErr w:type="spellStart"/>
            <w:r w:rsidRPr="00343503">
              <w:rPr>
                <w:bCs/>
                <w:sz w:val="22"/>
                <w:szCs w:val="22"/>
              </w:rPr>
              <w:t>охолодження</w:t>
            </w:r>
            <w:proofErr w:type="spellEnd"/>
            <w:r w:rsidRPr="00343503">
              <w:rPr>
                <w:bCs/>
                <w:sz w:val="22"/>
                <w:szCs w:val="22"/>
              </w:rPr>
              <w:t xml:space="preserve">; </w:t>
            </w:r>
          </w:p>
          <w:p w:rsidR="00343503" w:rsidRPr="00343503" w:rsidRDefault="00343503" w:rsidP="00343503">
            <w:pPr>
              <w:jc w:val="both"/>
              <w:rPr>
                <w:bCs/>
                <w:sz w:val="22"/>
                <w:szCs w:val="22"/>
              </w:rPr>
            </w:pPr>
            <w:proofErr w:type="spellStart"/>
            <w:r w:rsidRPr="00343503">
              <w:rPr>
                <w:bCs/>
                <w:sz w:val="22"/>
                <w:szCs w:val="22"/>
              </w:rPr>
              <w:t>Гарантія</w:t>
            </w:r>
            <w:proofErr w:type="spellEnd"/>
            <w:r w:rsidRPr="00343503">
              <w:rPr>
                <w:bCs/>
                <w:sz w:val="22"/>
                <w:szCs w:val="22"/>
              </w:rPr>
              <w:t xml:space="preserve"> не </w:t>
            </w:r>
            <w:proofErr w:type="spellStart"/>
            <w:r w:rsidRPr="00343503">
              <w:rPr>
                <w:bCs/>
                <w:sz w:val="22"/>
                <w:szCs w:val="22"/>
              </w:rPr>
              <w:t>менше</w:t>
            </w:r>
            <w:proofErr w:type="spellEnd"/>
            <w:r w:rsidRPr="00343503">
              <w:rPr>
                <w:bCs/>
                <w:sz w:val="22"/>
                <w:szCs w:val="22"/>
              </w:rPr>
              <w:t xml:space="preserve"> 24 </w:t>
            </w:r>
            <w:proofErr w:type="spellStart"/>
            <w:r w:rsidRPr="00343503">
              <w:rPr>
                <w:bCs/>
                <w:sz w:val="22"/>
                <w:szCs w:val="22"/>
              </w:rPr>
              <w:t>місяців</w:t>
            </w:r>
            <w:proofErr w:type="spellEnd"/>
            <w:r w:rsidRPr="00343503">
              <w:rPr>
                <w:bCs/>
                <w:sz w:val="22"/>
                <w:szCs w:val="22"/>
              </w:rPr>
              <w:t>.</w:t>
            </w:r>
          </w:p>
        </w:tc>
        <w:tc>
          <w:tcPr>
            <w:tcW w:w="900"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lang w:val="uk-UA" w:eastAsia="zh-CN"/>
              </w:rPr>
            </w:pPr>
            <w:proofErr w:type="spellStart"/>
            <w:r w:rsidRPr="00343503">
              <w:rPr>
                <w:lang w:val="uk-UA" w:eastAsia="zh-CN"/>
              </w:rPr>
              <w:t>шт</w:t>
            </w:r>
            <w:proofErr w:type="spellEnd"/>
          </w:p>
        </w:tc>
        <w:tc>
          <w:tcPr>
            <w:tcW w:w="900" w:type="dxa"/>
            <w:shd w:val="clear" w:color="auto" w:fill="auto"/>
            <w:vAlign w:val="center"/>
          </w:tcPr>
          <w:p w:rsidR="00343503" w:rsidRPr="00343503" w:rsidRDefault="00343503" w:rsidP="00343503">
            <w:pPr>
              <w:widowControl w:val="0"/>
              <w:suppressAutoHyphens/>
              <w:autoSpaceDE w:val="0"/>
              <w:autoSpaceDN w:val="0"/>
              <w:adjustRightInd w:val="0"/>
              <w:contextualSpacing/>
              <w:jc w:val="center"/>
              <w:rPr>
                <w:lang w:val="uk-UA"/>
              </w:rPr>
            </w:pPr>
            <w:r w:rsidRPr="00343503">
              <w:rPr>
                <w:lang w:val="uk-UA"/>
              </w:rPr>
              <w:t>90</w:t>
            </w:r>
          </w:p>
        </w:tc>
      </w:tr>
    </w:tbl>
    <w:p w:rsidR="00343503" w:rsidRPr="00343503" w:rsidRDefault="00343503" w:rsidP="00343503">
      <w:pPr>
        <w:widowControl w:val="0"/>
        <w:suppressAutoHyphens/>
        <w:ind w:firstLine="709"/>
        <w:jc w:val="both"/>
        <w:rPr>
          <w:b/>
          <w:lang w:val="uk-UA"/>
        </w:rPr>
      </w:pPr>
    </w:p>
    <w:p w:rsidR="00343503" w:rsidRPr="00343503" w:rsidRDefault="00343503" w:rsidP="00343503">
      <w:pPr>
        <w:widowControl w:val="0"/>
        <w:suppressAutoHyphens/>
        <w:ind w:firstLine="709"/>
        <w:jc w:val="both"/>
        <w:rPr>
          <w:b/>
          <w:lang w:val="uk-UA"/>
        </w:rPr>
      </w:pPr>
      <w:r w:rsidRPr="00343503">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 яка подається у вигляді наведеному нижче:</w:t>
      </w:r>
    </w:p>
    <w:p w:rsidR="00343503" w:rsidRPr="00343503" w:rsidRDefault="00343503" w:rsidP="00343503">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80"/>
        <w:gridCol w:w="4650"/>
      </w:tblGrid>
      <w:tr w:rsidR="00343503" w:rsidRPr="00343503" w:rsidTr="005E4E67">
        <w:tc>
          <w:tcPr>
            <w:tcW w:w="516" w:type="dxa"/>
            <w:shd w:val="clear" w:color="auto" w:fill="auto"/>
          </w:tcPr>
          <w:p w:rsidR="00343503" w:rsidRPr="00343503" w:rsidRDefault="00343503" w:rsidP="00343503">
            <w:pPr>
              <w:widowControl w:val="0"/>
              <w:suppressAutoHyphens/>
              <w:jc w:val="both"/>
              <w:rPr>
                <w:lang w:val="uk-UA"/>
              </w:rPr>
            </w:pPr>
          </w:p>
          <w:p w:rsidR="00343503" w:rsidRPr="00343503" w:rsidRDefault="00343503" w:rsidP="00343503">
            <w:pPr>
              <w:widowControl w:val="0"/>
              <w:suppressAutoHyphens/>
              <w:jc w:val="both"/>
              <w:rPr>
                <w:lang w:val="uk-UA"/>
              </w:rPr>
            </w:pPr>
          </w:p>
          <w:p w:rsidR="00343503" w:rsidRPr="00343503" w:rsidRDefault="00343503" w:rsidP="00343503">
            <w:pPr>
              <w:widowControl w:val="0"/>
              <w:suppressAutoHyphens/>
              <w:jc w:val="both"/>
              <w:rPr>
                <w:lang w:val="uk-UA"/>
              </w:rPr>
            </w:pPr>
          </w:p>
          <w:p w:rsidR="00343503" w:rsidRPr="00343503" w:rsidRDefault="00343503" w:rsidP="00343503">
            <w:pPr>
              <w:widowControl w:val="0"/>
              <w:suppressAutoHyphens/>
              <w:jc w:val="both"/>
              <w:rPr>
                <w:lang w:val="uk-UA"/>
              </w:rPr>
            </w:pPr>
          </w:p>
          <w:p w:rsidR="00343503" w:rsidRPr="00343503" w:rsidRDefault="00343503" w:rsidP="00343503">
            <w:pPr>
              <w:widowControl w:val="0"/>
              <w:suppressAutoHyphens/>
              <w:jc w:val="both"/>
              <w:rPr>
                <w:lang w:val="uk-UA"/>
              </w:rPr>
            </w:pPr>
            <w:r w:rsidRPr="00343503">
              <w:rPr>
                <w:lang w:val="uk-UA"/>
              </w:rPr>
              <w:t>№</w:t>
            </w:r>
          </w:p>
          <w:p w:rsidR="00343503" w:rsidRPr="00343503" w:rsidRDefault="00343503" w:rsidP="00343503">
            <w:pPr>
              <w:widowControl w:val="0"/>
              <w:suppressAutoHyphens/>
              <w:jc w:val="both"/>
              <w:rPr>
                <w:lang w:val="uk-UA"/>
              </w:rPr>
            </w:pPr>
            <w:r w:rsidRPr="00343503">
              <w:rPr>
                <w:lang w:val="uk-UA"/>
              </w:rPr>
              <w:t>з/п</w:t>
            </w:r>
          </w:p>
        </w:tc>
        <w:tc>
          <w:tcPr>
            <w:tcW w:w="4447" w:type="dxa"/>
            <w:shd w:val="clear" w:color="auto" w:fill="auto"/>
          </w:tcPr>
          <w:p w:rsidR="00343503" w:rsidRPr="00343503" w:rsidRDefault="00343503" w:rsidP="00343503">
            <w:pPr>
              <w:widowControl w:val="0"/>
              <w:suppressAutoHyphens/>
              <w:jc w:val="both"/>
              <w:rPr>
                <w:b/>
                <w:lang w:val="uk-UA"/>
              </w:rPr>
            </w:pPr>
          </w:p>
          <w:p w:rsidR="00343503" w:rsidRPr="00343503" w:rsidRDefault="00343503" w:rsidP="00343503">
            <w:pPr>
              <w:widowControl w:val="0"/>
              <w:suppressAutoHyphens/>
              <w:jc w:val="center"/>
              <w:rPr>
                <w:b/>
                <w:lang w:val="uk-UA"/>
              </w:rPr>
            </w:pPr>
            <w:r w:rsidRPr="00343503">
              <w:rPr>
                <w:b/>
                <w:lang w:val="uk-UA"/>
              </w:rPr>
              <w:t xml:space="preserve">Найменування, одиниці виміру, кількість, опис технічних характеристик, що вимагаються Замовником </w:t>
            </w:r>
            <w:r w:rsidRPr="00343503">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343503" w:rsidRPr="00343503" w:rsidRDefault="00343503" w:rsidP="00343503">
            <w:pPr>
              <w:widowControl w:val="0"/>
              <w:suppressAutoHyphens/>
              <w:jc w:val="both"/>
              <w:rPr>
                <w:b/>
                <w:lang w:val="uk-UA"/>
              </w:rPr>
            </w:pPr>
          </w:p>
          <w:p w:rsidR="00343503" w:rsidRPr="00343503" w:rsidRDefault="00343503" w:rsidP="00343503">
            <w:pPr>
              <w:widowControl w:val="0"/>
              <w:suppressAutoHyphens/>
              <w:jc w:val="center"/>
              <w:rPr>
                <w:b/>
                <w:lang w:val="uk-UA"/>
              </w:rPr>
            </w:pPr>
            <w:r w:rsidRPr="00343503">
              <w:rPr>
                <w:b/>
                <w:lang w:val="uk-UA"/>
              </w:rPr>
              <w:t>ХАРАКТЕРИСТИКИ запропонованого учасником товару *</w:t>
            </w:r>
          </w:p>
          <w:p w:rsidR="00343503" w:rsidRPr="00343503" w:rsidRDefault="00343503" w:rsidP="00343503">
            <w:pPr>
              <w:widowControl w:val="0"/>
              <w:suppressAutoHyphens/>
              <w:jc w:val="center"/>
              <w:rPr>
                <w:lang w:val="uk-UA"/>
              </w:rPr>
            </w:pPr>
            <w:r w:rsidRPr="00343503">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343503" w:rsidRPr="00343503" w:rsidTr="005E4E67">
        <w:tc>
          <w:tcPr>
            <w:tcW w:w="516" w:type="dxa"/>
            <w:shd w:val="clear" w:color="auto" w:fill="auto"/>
          </w:tcPr>
          <w:p w:rsidR="00343503" w:rsidRPr="00343503" w:rsidRDefault="00343503" w:rsidP="00343503">
            <w:pPr>
              <w:widowControl w:val="0"/>
              <w:suppressAutoHyphens/>
              <w:jc w:val="both"/>
              <w:rPr>
                <w:b/>
                <w:lang w:val="uk-UA"/>
              </w:rPr>
            </w:pPr>
            <w:r w:rsidRPr="00343503">
              <w:rPr>
                <w:b/>
                <w:lang w:val="uk-UA"/>
              </w:rPr>
              <w:t>1.</w:t>
            </w:r>
          </w:p>
        </w:tc>
        <w:tc>
          <w:tcPr>
            <w:tcW w:w="4447" w:type="dxa"/>
            <w:shd w:val="clear" w:color="auto" w:fill="auto"/>
          </w:tcPr>
          <w:p w:rsidR="00343503" w:rsidRPr="00343503" w:rsidRDefault="00343503" w:rsidP="00343503">
            <w:pPr>
              <w:widowControl w:val="0"/>
              <w:suppressAutoHyphens/>
              <w:jc w:val="both"/>
              <w:rPr>
                <w:b/>
                <w:lang w:val="uk-UA"/>
              </w:rPr>
            </w:pPr>
          </w:p>
        </w:tc>
        <w:tc>
          <w:tcPr>
            <w:tcW w:w="4891" w:type="dxa"/>
            <w:shd w:val="clear" w:color="auto" w:fill="auto"/>
          </w:tcPr>
          <w:p w:rsidR="00343503" w:rsidRPr="00343503" w:rsidRDefault="00343503" w:rsidP="00343503">
            <w:pPr>
              <w:widowControl w:val="0"/>
              <w:suppressAutoHyphens/>
              <w:jc w:val="both"/>
              <w:rPr>
                <w:b/>
                <w:lang w:val="uk-UA"/>
              </w:rPr>
            </w:pPr>
          </w:p>
        </w:tc>
      </w:tr>
      <w:tr w:rsidR="00343503" w:rsidRPr="00343503" w:rsidTr="005E4E67">
        <w:tc>
          <w:tcPr>
            <w:tcW w:w="516" w:type="dxa"/>
            <w:shd w:val="clear" w:color="auto" w:fill="auto"/>
          </w:tcPr>
          <w:p w:rsidR="00343503" w:rsidRPr="00343503" w:rsidRDefault="00343503" w:rsidP="00343503">
            <w:pPr>
              <w:widowControl w:val="0"/>
              <w:suppressAutoHyphens/>
              <w:jc w:val="both"/>
              <w:rPr>
                <w:b/>
                <w:lang w:val="uk-UA"/>
              </w:rPr>
            </w:pPr>
            <w:r w:rsidRPr="00343503">
              <w:rPr>
                <w:b/>
                <w:lang w:val="uk-UA"/>
              </w:rPr>
              <w:t>2.</w:t>
            </w:r>
          </w:p>
        </w:tc>
        <w:tc>
          <w:tcPr>
            <w:tcW w:w="4447" w:type="dxa"/>
            <w:shd w:val="clear" w:color="auto" w:fill="auto"/>
          </w:tcPr>
          <w:p w:rsidR="00343503" w:rsidRPr="00343503" w:rsidRDefault="00343503" w:rsidP="00343503">
            <w:pPr>
              <w:widowControl w:val="0"/>
              <w:suppressAutoHyphens/>
              <w:jc w:val="both"/>
              <w:rPr>
                <w:b/>
                <w:lang w:val="uk-UA"/>
              </w:rPr>
            </w:pPr>
          </w:p>
        </w:tc>
        <w:tc>
          <w:tcPr>
            <w:tcW w:w="4891" w:type="dxa"/>
            <w:shd w:val="clear" w:color="auto" w:fill="auto"/>
          </w:tcPr>
          <w:p w:rsidR="00343503" w:rsidRPr="00343503" w:rsidRDefault="00343503" w:rsidP="00343503">
            <w:pPr>
              <w:widowControl w:val="0"/>
              <w:suppressAutoHyphens/>
              <w:jc w:val="both"/>
              <w:rPr>
                <w:b/>
                <w:lang w:val="uk-UA"/>
              </w:rPr>
            </w:pPr>
          </w:p>
        </w:tc>
      </w:tr>
    </w:tbl>
    <w:p w:rsidR="00343503" w:rsidRPr="00343503" w:rsidRDefault="00343503" w:rsidP="00343503">
      <w:pPr>
        <w:jc w:val="both"/>
        <w:rPr>
          <w:rFonts w:eastAsia="Calibri"/>
          <w:lang w:val="uk-UA"/>
        </w:rPr>
      </w:pPr>
      <w:r w:rsidRPr="00343503">
        <w:rPr>
          <w:rFonts w:eastAsia="Calibri"/>
          <w:lang w:val="uk-UA"/>
        </w:rPr>
        <w:t xml:space="preserve">     </w:t>
      </w:r>
    </w:p>
    <w:p w:rsidR="00343503" w:rsidRPr="00343503" w:rsidRDefault="00343503" w:rsidP="00343503">
      <w:pPr>
        <w:shd w:val="clear" w:color="auto" w:fill="FFFFFF"/>
        <w:ind w:firstLine="851"/>
        <w:rPr>
          <w:bCs/>
          <w:lang w:val="uk-UA" w:eastAsia="en-US"/>
        </w:rPr>
      </w:pPr>
      <w:r w:rsidRPr="00343503">
        <w:rPr>
          <w:bCs/>
          <w:lang w:val="uk-UA" w:eastAsia="en-US"/>
        </w:rPr>
        <w:t xml:space="preserve">Поставка та розвантаження товару здійснюється власними ресурсами Учасника за </w:t>
      </w:r>
      <w:proofErr w:type="spellStart"/>
      <w:r w:rsidRPr="00343503">
        <w:rPr>
          <w:bCs/>
          <w:lang w:val="uk-UA" w:eastAsia="en-US"/>
        </w:rPr>
        <w:t>адресою</w:t>
      </w:r>
      <w:proofErr w:type="spellEnd"/>
      <w:r w:rsidRPr="00343503">
        <w:rPr>
          <w:bCs/>
          <w:lang w:val="uk-UA" w:eastAsia="en-US"/>
        </w:rPr>
        <w:t xml:space="preserve"> складу Замовника: м. Сєвєродонецьк, вул. Б. Ліщини, 27, Луганська область, 93400.</w:t>
      </w:r>
    </w:p>
    <w:p w:rsidR="00343503" w:rsidRPr="00343503" w:rsidRDefault="00343503" w:rsidP="00343503">
      <w:pPr>
        <w:shd w:val="clear" w:color="auto" w:fill="FFFFFF"/>
        <w:ind w:firstLine="851"/>
        <w:rPr>
          <w:bCs/>
          <w:lang w:val="uk-UA" w:eastAsia="en-US"/>
        </w:rPr>
      </w:pPr>
      <w:r w:rsidRPr="00343503">
        <w:rPr>
          <w:bCs/>
          <w:lang w:val="uk-UA" w:eastAsia="en-US"/>
        </w:rPr>
        <w:t>Строк поставки товару: до 31 грудня 2021 року.</w:t>
      </w:r>
    </w:p>
    <w:p w:rsidR="00343503" w:rsidRPr="00343503" w:rsidRDefault="00343503" w:rsidP="00343503">
      <w:pPr>
        <w:shd w:val="clear" w:color="auto" w:fill="FFFFFF"/>
        <w:ind w:firstLine="851"/>
        <w:rPr>
          <w:bCs/>
          <w:lang w:val="uk-UA" w:eastAsia="en-US"/>
        </w:rPr>
      </w:pPr>
      <w:r w:rsidRPr="00343503">
        <w:rPr>
          <w:bCs/>
          <w:lang w:val="uk-UA" w:eastAsia="en-US"/>
        </w:rPr>
        <w:lastRenderedPageBreak/>
        <w:t xml:space="preserve">Рік виготовлення: 2020-2021 </w:t>
      </w:r>
      <w:proofErr w:type="spellStart"/>
      <w:r w:rsidRPr="00343503">
        <w:rPr>
          <w:bCs/>
          <w:lang w:val="uk-UA" w:eastAsia="en-US"/>
        </w:rPr>
        <w:t>р.р</w:t>
      </w:r>
      <w:proofErr w:type="spellEnd"/>
      <w:r w:rsidRPr="00343503">
        <w:rPr>
          <w:bCs/>
          <w:lang w:val="uk-UA" w:eastAsia="en-US"/>
        </w:rPr>
        <w:t>.</w:t>
      </w:r>
    </w:p>
    <w:p w:rsidR="00343503" w:rsidRPr="00343503" w:rsidRDefault="00343503" w:rsidP="00343503">
      <w:pPr>
        <w:shd w:val="clear" w:color="auto" w:fill="FFFFFF"/>
        <w:ind w:firstLine="851"/>
        <w:rPr>
          <w:bCs/>
          <w:lang w:val="uk-UA" w:eastAsia="en-US"/>
        </w:rPr>
      </w:pPr>
      <w:r w:rsidRPr="00343503">
        <w:rPr>
          <w:bCs/>
          <w:lang w:val="uk-UA" w:eastAsia="en-US"/>
        </w:rPr>
        <w:t>Ціна за одиницю товару повинна бути сформована Учасником з урахуванням витрат на завантаження, розвантаження, транспортних витрат до місця поставки та інших витрат - про що Учасник надає лист гарантію у довільній формі.</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 тара та упаковка відповідає вимогам встановленим до даного виду товару, умови його зберігання не порушені, товар повинен бути новим, таким що не був у вжитку і за допомогою цього Товару не проводились демонстраційні заходи - про що Учасник надає лист гарантію у довільній формі.</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Гарантійний термін зберігання на поставлений товар повинен складати не менше 12 місяців з дати поставки товару - про що Учасник надає лист гарантію у довільній формі.</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Учасник (переможець) зобов'язаний проводити гарантійне обслуговування товару, що є предметом закупівлі. Гарантійний строк на товар, що є предметом закупівлі, становить не менше 24 місяців - про що Учасник надає лист гарантію у довільній формі.</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Усі логістичні витрати щодо передачі товару на гарантійне обслуговування від Замовника до сервісного центру Учасника від сервісного центру Учасника до Замовника покладаються на Учасника - про що Учасник надає лист гарантію у довільній формі.</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У складі тендерної пропозиції Учасник повинен надати:</w:t>
      </w:r>
    </w:p>
    <w:p w:rsidR="00343503" w:rsidRPr="00343503" w:rsidRDefault="00343503" w:rsidP="00343503">
      <w:pPr>
        <w:shd w:val="clear" w:color="auto" w:fill="FFFFFF"/>
        <w:ind w:firstLine="851"/>
        <w:rPr>
          <w:bCs/>
          <w:lang w:val="uk-UA" w:eastAsia="en-US"/>
        </w:rPr>
      </w:pPr>
      <w:r w:rsidRPr="00343503">
        <w:rPr>
          <w:bCs/>
          <w:lang w:val="uk-UA" w:eastAsia="en-US"/>
        </w:rPr>
        <w:t>- документи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Cs/>
          <w:lang w:val="uk-UA" w:eastAsia="en-US"/>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343503" w:rsidRPr="00343503" w:rsidRDefault="00343503" w:rsidP="00343503">
      <w:pPr>
        <w:shd w:val="clear" w:color="auto" w:fill="FFFFFF"/>
        <w:ind w:firstLine="851"/>
        <w:rPr>
          <w:bCs/>
          <w:lang w:val="uk-UA" w:eastAsia="en-US"/>
        </w:rPr>
      </w:pPr>
    </w:p>
    <w:p w:rsidR="00343503" w:rsidRPr="00343503" w:rsidRDefault="00343503" w:rsidP="00343503">
      <w:pPr>
        <w:shd w:val="clear" w:color="auto" w:fill="FFFFFF"/>
        <w:ind w:firstLine="851"/>
        <w:rPr>
          <w:bCs/>
          <w:lang w:val="uk-UA" w:eastAsia="en-US"/>
        </w:rPr>
      </w:pPr>
      <w:r w:rsidRPr="00343503">
        <w:rPr>
          <w:b/>
          <w:bCs/>
          <w:lang w:val="uk-UA" w:eastAsia="en-US"/>
        </w:rPr>
        <w:t>ВАЖЛИВО!</w:t>
      </w:r>
      <w:r w:rsidRPr="00343503">
        <w:rPr>
          <w:bCs/>
          <w:lang w:val="uk-UA" w:eastAsia="en-US"/>
        </w:rPr>
        <w:t xml:space="preserve"> Не приймаються пропозиції на товар, який виготовлений в країні (ах) до якої (</w:t>
      </w:r>
      <w:proofErr w:type="spellStart"/>
      <w:r w:rsidRPr="00343503">
        <w:rPr>
          <w:bCs/>
          <w:lang w:val="uk-UA" w:eastAsia="en-US"/>
        </w:rPr>
        <w:t>их</w:t>
      </w:r>
      <w:proofErr w:type="spellEnd"/>
      <w:r w:rsidRPr="00343503">
        <w:rPr>
          <w:bCs/>
          <w:lang w:val="uk-UA" w:eastAsia="en-US"/>
        </w:rPr>
        <w:t>) застосовуються санкції (персональні спеціальні економічні та інших обмежувальні заходи).</w:t>
      </w:r>
    </w:p>
    <w:p w:rsidR="00343503" w:rsidRPr="00343503" w:rsidRDefault="00343503" w:rsidP="00343503">
      <w:pPr>
        <w:ind w:firstLine="720"/>
        <w:jc w:val="both"/>
        <w:rPr>
          <w:rFonts w:eastAsia="Calibri"/>
          <w:i/>
          <w:lang w:val="uk-UA"/>
        </w:rPr>
      </w:pPr>
      <w:r w:rsidRPr="00343503">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r w:rsidRPr="00343503">
        <w:rPr>
          <w:rFonts w:eastAsia="Calibri"/>
          <w:i/>
          <w:lang w:val="uk-UA"/>
        </w:rPr>
        <w:t>Всі характеристики запропонованого еквіваленту товару повинні бути не гірші, ніж у товару, що є предметом закупівлі.</w:t>
      </w:r>
      <w:bookmarkStart w:id="0" w:name="_GoBack"/>
      <w:bookmarkEnd w:id="0"/>
    </w:p>
    <w:p w:rsidR="00343503" w:rsidRPr="00343503" w:rsidRDefault="00343503" w:rsidP="00343503">
      <w:pPr>
        <w:spacing w:after="120"/>
        <w:ind w:firstLine="851"/>
        <w:jc w:val="both"/>
        <w:rPr>
          <w:i/>
          <w:iCs/>
          <w:lang w:val="uk-UA" w:eastAsia="en-US"/>
        </w:rPr>
      </w:pPr>
      <w:r w:rsidRPr="00343503">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43503" w:rsidRPr="00343503" w:rsidRDefault="00343503" w:rsidP="00343503">
      <w:pPr>
        <w:ind w:left="142"/>
        <w:jc w:val="both"/>
        <w:rPr>
          <w:i/>
          <w:iCs/>
          <w:sz w:val="22"/>
          <w:szCs w:val="22"/>
          <w:lang w:val="uk-UA" w:eastAsia="en-US"/>
        </w:rPr>
      </w:pPr>
    </w:p>
    <w:p w:rsidR="00343503" w:rsidRPr="00343503" w:rsidRDefault="00343503" w:rsidP="00343503">
      <w:pPr>
        <w:ind w:left="142"/>
        <w:jc w:val="both"/>
        <w:rPr>
          <w:i/>
          <w:iCs/>
          <w:sz w:val="22"/>
          <w:szCs w:val="22"/>
          <w:lang w:val="uk-UA" w:eastAsia="en-US"/>
        </w:rPr>
      </w:pPr>
    </w:p>
    <w:p w:rsidR="00343503" w:rsidRPr="00343503" w:rsidRDefault="00343503" w:rsidP="00343503">
      <w:pPr>
        <w:ind w:left="142"/>
        <w:jc w:val="both"/>
        <w:rPr>
          <w:i/>
          <w:iCs/>
          <w:sz w:val="22"/>
          <w:szCs w:val="22"/>
          <w:lang w:val="uk-UA" w:eastAsia="en-US"/>
        </w:rPr>
      </w:pPr>
    </w:p>
    <w:p w:rsidR="001B2EE8" w:rsidRPr="00343503" w:rsidRDefault="001B2EE8" w:rsidP="00343503">
      <w:pPr>
        <w:rPr>
          <w:lang w:val="uk-UA"/>
        </w:rPr>
      </w:pPr>
    </w:p>
    <w:sectPr w:rsidR="001B2EE8" w:rsidRPr="0034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5"/>
    <w:rsid w:val="001B2EE8"/>
    <w:rsid w:val="002E27D5"/>
    <w:rsid w:val="00343503"/>
    <w:rsid w:val="00E6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2019"/>
  <w15:chartTrackingRefBased/>
  <w15:docId w15:val="{84C23575-2B1C-41CC-B4D9-C8E5468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0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71C"/>
    <w:rPr>
      <w:rFonts w:ascii="Segoe UI" w:hAnsi="Segoe UI" w:cs="Segoe UI"/>
      <w:sz w:val="18"/>
      <w:szCs w:val="18"/>
    </w:rPr>
  </w:style>
  <w:style w:type="character" w:customStyle="1" w:styleId="a4">
    <w:name w:val="Текст выноски Знак"/>
    <w:basedOn w:val="a0"/>
    <w:link w:val="a3"/>
    <w:uiPriority w:val="99"/>
    <w:semiHidden/>
    <w:rsid w:val="00E607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2021-12-02T12:49:00Z</cp:lastPrinted>
  <dcterms:created xsi:type="dcterms:W3CDTF">2021-11-24T14:36:00Z</dcterms:created>
  <dcterms:modified xsi:type="dcterms:W3CDTF">2021-12-02T12:49:00Z</dcterms:modified>
</cp:coreProperties>
</file>