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5B9F" w14:textId="77777777" w:rsidR="00923AE5" w:rsidRDefault="00923AE5" w:rsidP="005A3D4F">
      <w:pPr>
        <w:rPr>
          <w:rFonts w:ascii="Times New Roman" w:hAnsi="Times New Roman" w:cs="Times New Roman"/>
          <w:b/>
        </w:rPr>
      </w:pPr>
    </w:p>
    <w:p w14:paraId="6C436388" w14:textId="3BAB7398" w:rsidR="004E7ABD" w:rsidRPr="00782232" w:rsidRDefault="00D62F7F" w:rsidP="00CA0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5F77704B" w:rsidR="00AA41B3" w:rsidRPr="00782232" w:rsidRDefault="00686B11" w:rsidP="00CA0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CA08F4">
        <w:rPr>
          <w:rFonts w:ascii="Times New Roman" w:hAnsi="Times New Roman" w:cs="Times New Roman"/>
          <w:b/>
        </w:rPr>
        <w:t>Б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08D5488F" w14:textId="60DAB4D7" w:rsidR="00AA41B3" w:rsidRDefault="00CA08F4" w:rsidP="00CA08F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A08F4">
        <w:rPr>
          <w:rFonts w:ascii="Times New Roman" w:hAnsi="Times New Roman" w:cs="Times New Roman"/>
          <w:b/>
          <w:u w:val="single"/>
        </w:rPr>
        <w:t>начальник відділу матеріально-технічного забезпечення та соціально-побутових потреб</w:t>
      </w:r>
      <w:r>
        <w:rPr>
          <w:rFonts w:ascii="Times New Roman" w:hAnsi="Times New Roman" w:cs="Times New Roman"/>
          <w:b/>
          <w:u w:val="single"/>
        </w:rPr>
        <w:t xml:space="preserve"> Луганської обласної прокуратури</w:t>
      </w:r>
    </w:p>
    <w:p w14:paraId="09AF5096" w14:textId="77777777" w:rsidR="007C0F82" w:rsidRPr="00782232" w:rsidRDefault="007C0F82" w:rsidP="001330B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CA08F4" w:rsidRPr="0078223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7C84C41C" w14:textId="106D8FCC" w:rsidR="00CA08F4" w:rsidRPr="00CA08F4" w:rsidRDefault="00C62B8E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з</w:t>
            </w:r>
            <w:r w:rsidRPr="005207C5">
              <w:rPr>
                <w:rFonts w:ascii="Times New Roman" w:hAnsi="Times New Roman"/>
              </w:rPr>
              <w:t>дійснює загальне керівництво діяльністю Відділу, організовує, спрямовує і контролює роботу підпорядкованих працівників з урахуванням організаційно-розпорядчих документів, рішень нарад у керівництва Луганської обласної прокуратури</w:t>
            </w:r>
            <w:r w:rsidR="00CA08F4" w:rsidRPr="00CA08F4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0C64634E" w14:textId="1F72E65D" w:rsidR="00CA08F4" w:rsidRPr="00CA08F4" w:rsidRDefault="007450DE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="00C62B8E" w:rsidRPr="005207C5">
              <w:rPr>
                <w:rFonts w:ascii="Times New Roman" w:hAnsi="Times New Roman"/>
              </w:rPr>
              <w:t>изначає основні напрями діяльності, характер роботи Відділу відповідно до завдань та функцій, координує діяльність працівників Відділу, забезпечує їх взаємодію з іншими структурними підрозділами Луганської обласної прокуратури, відповідними державними органами та органами місцевого самоврядування</w:t>
            </w:r>
            <w:r w:rsidR="00C62B8E">
              <w:rPr>
                <w:rFonts w:ascii="Times New Roman" w:hAnsi="Times New Roman"/>
              </w:rPr>
              <w:t xml:space="preserve">, </w:t>
            </w:r>
            <w:r w:rsidR="00C62B8E" w:rsidRPr="005207C5">
              <w:rPr>
                <w:rFonts w:ascii="Times New Roman" w:hAnsi="Times New Roman"/>
              </w:rPr>
              <w:t>погоджує посадові інструкції державних службовців Відділу</w:t>
            </w:r>
            <w:r w:rsidR="00C62B8E">
              <w:rPr>
                <w:rFonts w:ascii="Times New Roman" w:hAnsi="Times New Roman"/>
              </w:rPr>
              <w:t xml:space="preserve">, </w:t>
            </w:r>
            <w:r w:rsidR="00C62B8E" w:rsidRPr="005207C5">
              <w:rPr>
                <w:rFonts w:ascii="Times New Roman" w:hAnsi="Times New Roman"/>
              </w:rPr>
              <w:t>затверджує розподіл обов’язків між працівниками Відділу та посадові інструкції працівників, які виконують функції з обслуговування</w:t>
            </w:r>
            <w:r w:rsidR="00C62B8E">
              <w:rPr>
                <w:rFonts w:ascii="Times New Roman" w:hAnsi="Times New Roman"/>
              </w:rPr>
              <w:t xml:space="preserve">, </w:t>
            </w:r>
            <w:r w:rsidR="00C62B8E" w:rsidRPr="005207C5">
              <w:rPr>
                <w:rFonts w:ascii="Times New Roman" w:hAnsi="Times New Roman"/>
              </w:rPr>
              <w:t>вносить пропозиції та забезпечує підготовку матеріалів для розгляду на нарадах у керівництва Луганської обласної прокуратури з питань діяльності Відділу, своєчасне та якісне виконання прийнятих рішень</w:t>
            </w:r>
            <w:r w:rsidR="00CA08F4" w:rsidRPr="00CA08F4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02426801" w14:textId="0A8CBFE4" w:rsidR="00CA08F4" w:rsidRPr="00CA08F4" w:rsidRDefault="007450DE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="00C62B8E" w:rsidRPr="005207C5">
              <w:rPr>
                <w:rFonts w:ascii="Times New Roman" w:hAnsi="Times New Roman"/>
              </w:rPr>
              <w:t>отує, оформлює та оприлюднює через електронну систему закупівель на веб</w:t>
            </w:r>
            <w:r w:rsidR="00C62B8E">
              <w:rPr>
                <w:rFonts w:ascii="Times New Roman" w:hAnsi="Times New Roman"/>
              </w:rPr>
              <w:t>-</w:t>
            </w:r>
            <w:r w:rsidR="00C62B8E" w:rsidRPr="005207C5">
              <w:rPr>
                <w:rFonts w:ascii="Times New Roman" w:hAnsi="Times New Roman"/>
              </w:rPr>
              <w:t>порталі центрального органу виконавчої влади, що забезпечує формування та реалізує державну політику у сфері публічних закупівель, річний план закупівель зі змінами, додатки до нього, оголошення, протоколи, звіти та інші документи, що стосуються публічних закупівель Луганської обласної прокуратури</w:t>
            </w:r>
            <w:r w:rsidR="00C62B8E">
              <w:rPr>
                <w:rFonts w:ascii="Times New Roman" w:hAnsi="Times New Roman"/>
              </w:rPr>
              <w:t xml:space="preserve">, </w:t>
            </w:r>
            <w:r w:rsidR="00C62B8E" w:rsidRPr="005207C5">
              <w:rPr>
                <w:rFonts w:ascii="Times New Roman" w:hAnsi="Times New Roman"/>
              </w:rPr>
              <w:t>здійснює договірну роботу та проведення процедур закупівель у порядку, встановленому Законом України «Про публічні закупівлі»</w:t>
            </w:r>
            <w:r w:rsidR="00C62B8E">
              <w:rPr>
                <w:rFonts w:ascii="Times New Roman" w:hAnsi="Times New Roman"/>
              </w:rPr>
              <w:t xml:space="preserve">, </w:t>
            </w:r>
            <w:r w:rsidR="00C62B8E" w:rsidRPr="005207C5">
              <w:rPr>
                <w:rFonts w:ascii="Times New Roman" w:hAnsi="Times New Roman"/>
              </w:rPr>
              <w:t>бере участь в організації та проведенні закупівель</w:t>
            </w:r>
            <w:r w:rsidR="00CA08F4" w:rsidRPr="00CA08F4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489C9879" w14:textId="0B6B096A" w:rsidR="00CA08F4" w:rsidRPr="00CA08F4" w:rsidRDefault="007450DE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з</w:t>
            </w:r>
            <w:r w:rsidR="009D09E7" w:rsidRPr="005207C5">
              <w:rPr>
                <w:rFonts w:ascii="Times New Roman" w:hAnsi="Times New Roman"/>
              </w:rPr>
              <w:t>дійснює роботу з визначення потреб та підготовку документів, необхідних для забезпечення транспортними засобами</w:t>
            </w:r>
            <w:r w:rsidR="00CA08F4" w:rsidRPr="00CA08F4">
              <w:rPr>
                <w:rFonts w:ascii="Times New Roman" w:hAnsi="Times New Roman" w:cs="Times New Roman"/>
                <w:lang w:eastAsia="ru-RU"/>
              </w:rPr>
              <w:t xml:space="preserve">;  </w:t>
            </w:r>
          </w:p>
          <w:p w14:paraId="3A9236F2" w14:textId="5993E047" w:rsidR="00CA08F4" w:rsidRPr="00CA08F4" w:rsidRDefault="007450DE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з</w:t>
            </w:r>
            <w:r w:rsidR="009D09E7" w:rsidRPr="005207C5">
              <w:rPr>
                <w:rFonts w:ascii="Times New Roman" w:hAnsi="Times New Roman"/>
              </w:rPr>
              <w:t xml:space="preserve">дійснює роботу щодо належної експлуатації гаражного обладнання, зберігання, технічного обслуговування та ремонту транспортних засобів, ефективного використання пально-мастильних матеріалів в </w:t>
            </w:r>
            <w:r w:rsidR="009D09E7">
              <w:rPr>
                <w:rFonts w:ascii="Times New Roman" w:hAnsi="Times New Roman"/>
              </w:rPr>
              <w:t xml:space="preserve">обласній прокуратурі, </w:t>
            </w:r>
            <w:r w:rsidR="009D09E7" w:rsidRPr="005207C5">
              <w:rPr>
                <w:rFonts w:ascii="Times New Roman" w:hAnsi="Times New Roman"/>
              </w:rPr>
              <w:t>забезпечує належні умови зберігання, розподілу у встановленому порядку транспортних засобів прокуратури та їх раціонального використання</w:t>
            </w:r>
            <w:r w:rsidR="00CA08F4" w:rsidRPr="00CA08F4">
              <w:rPr>
                <w:rFonts w:ascii="Times New Roman" w:hAnsi="Times New Roman" w:cs="Times New Roman"/>
              </w:rPr>
              <w:t>;</w:t>
            </w:r>
          </w:p>
          <w:p w14:paraId="1652BC5B" w14:textId="14CCB274" w:rsidR="00CA08F4" w:rsidRPr="00CA08F4" w:rsidRDefault="007450DE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D09E7" w:rsidRPr="005A74DF">
              <w:rPr>
                <w:rFonts w:ascii="Times New Roman" w:hAnsi="Times New Roman"/>
              </w:rPr>
              <w:t>абезпечує облаштування, утримання, обслуговування об’єктів, інженерно-комунальних мереж, сантехнічного обладнання</w:t>
            </w:r>
            <w:r w:rsidR="009D09E7">
              <w:rPr>
                <w:rFonts w:ascii="Times New Roman" w:hAnsi="Times New Roman"/>
              </w:rPr>
              <w:t xml:space="preserve">, </w:t>
            </w:r>
            <w:r w:rsidR="009D09E7" w:rsidRPr="005A74DF">
              <w:rPr>
                <w:rFonts w:ascii="Times New Roman" w:hAnsi="Times New Roman"/>
              </w:rPr>
              <w:t>проведення поточних ремонтів інженерного обладнання в адміністративних будівлях і спорудах Луганської обласної прокуратури</w:t>
            </w:r>
            <w:r w:rsidR="009D09E7">
              <w:rPr>
                <w:rFonts w:ascii="Times New Roman" w:hAnsi="Times New Roman"/>
              </w:rPr>
              <w:t xml:space="preserve">, </w:t>
            </w:r>
            <w:r w:rsidR="009D09E7" w:rsidRPr="005A74DF">
              <w:rPr>
                <w:rFonts w:ascii="Times New Roman" w:hAnsi="Times New Roman"/>
              </w:rPr>
              <w:lastRenderedPageBreak/>
              <w:t>забезпечує дотримання санітарно-технічного стану в службових та допоміжних приміщеннях,</w:t>
            </w:r>
            <w:r w:rsidR="009D09E7">
              <w:rPr>
                <w:rFonts w:ascii="Times New Roman" w:hAnsi="Times New Roman"/>
              </w:rPr>
              <w:t xml:space="preserve"> </w:t>
            </w:r>
            <w:r w:rsidR="009D09E7" w:rsidRPr="005A74DF">
              <w:rPr>
                <w:rFonts w:ascii="Times New Roman" w:hAnsi="Times New Roman"/>
              </w:rPr>
              <w:t>безперебійну роботу електро-, тепло-, газо-, водопостачання, ліфтового господарства, систем вентиляції та кондиціювання на об’єктах Луганської обласної прокуратури</w:t>
            </w:r>
            <w:r w:rsidR="00CA08F4" w:rsidRPr="00CA08F4">
              <w:rPr>
                <w:rFonts w:ascii="Times New Roman" w:hAnsi="Times New Roman" w:cs="Times New Roman"/>
              </w:rPr>
              <w:t>;</w:t>
            </w:r>
          </w:p>
          <w:p w14:paraId="7F10ABBF" w14:textId="2DAB2993" w:rsidR="00CA08F4" w:rsidRPr="00CA08F4" w:rsidRDefault="007450DE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о</w:t>
            </w:r>
            <w:r w:rsidR="009D09E7" w:rsidRPr="005A74DF">
              <w:rPr>
                <w:rFonts w:ascii="Times New Roman" w:hAnsi="Times New Roman"/>
              </w:rPr>
              <w:t>рганізовує підготовку документів щодо обов’язкового страхування цивільно-правової відповідальності власників наземних транспортних засобів Луганської обласної прокуратури</w:t>
            </w:r>
            <w:r w:rsidR="00CA08F4" w:rsidRPr="00CA08F4">
              <w:rPr>
                <w:rFonts w:ascii="Times New Roman" w:hAnsi="Times New Roman" w:cs="Times New Roman"/>
              </w:rPr>
              <w:t>;</w:t>
            </w:r>
          </w:p>
          <w:p w14:paraId="3D99C389" w14:textId="6DDA7C48" w:rsidR="00CA08F4" w:rsidRPr="00CA08F4" w:rsidRDefault="007450DE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09E7" w:rsidRPr="005A74DF">
              <w:rPr>
                <w:rFonts w:ascii="Times New Roman" w:hAnsi="Times New Roman"/>
              </w:rPr>
              <w:t>рганізовує контроль за дотриманням правил техніки безпеки та пожежної безпеки водіями обласної прокуратури на транспортних засобах і в приміщеннях їх зберігання (на місцях паркування)</w:t>
            </w:r>
            <w:r w:rsidR="00CA08F4" w:rsidRPr="00CA08F4">
              <w:rPr>
                <w:rFonts w:ascii="Times New Roman" w:hAnsi="Times New Roman" w:cs="Times New Roman"/>
              </w:rPr>
              <w:t>;</w:t>
            </w:r>
          </w:p>
          <w:p w14:paraId="00DCF31C" w14:textId="4AEC39C7" w:rsidR="00A05037" w:rsidRDefault="007450DE" w:rsidP="00A05037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D09E7" w:rsidRPr="005A74DF">
              <w:rPr>
                <w:rFonts w:ascii="Times New Roman" w:hAnsi="Times New Roman"/>
              </w:rPr>
              <w:t>абезпечує виконання інших завдань та службових доручень керівництва Луганської обласної прокуратури</w:t>
            </w:r>
            <w:r w:rsidR="00A05037">
              <w:rPr>
                <w:rFonts w:ascii="Times New Roman" w:hAnsi="Times New Roman" w:cs="Times New Roman"/>
              </w:rPr>
              <w:t>;</w:t>
            </w:r>
          </w:p>
          <w:p w14:paraId="1C66A97E" w14:textId="4F5E93EB" w:rsidR="00CA08F4" w:rsidRPr="007450DE" w:rsidRDefault="00CA08F4" w:rsidP="009D09E7">
            <w:pPr>
              <w:ind w:lef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8F4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6FD7D68A" w:rsidR="00CA08F4" w:rsidRPr="00603D8C" w:rsidRDefault="00603D8C" w:rsidP="00CA08F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>
              <w:rPr>
                <w:rFonts w:ascii="Times New Roman" w:hAnsi="Times New Roman" w:cs="Times New Roman"/>
              </w:rPr>
              <w:br/>
              <w:t xml:space="preserve">премії та компенсації відповідно до статей 50-52 Закону України «Про державну службу», </w:t>
            </w:r>
            <w:r>
              <w:rPr>
                <w:rFonts w:ascii="Times New Roman" w:hAnsi="Times New Roman" w:cs="Times New Roman"/>
                <w:szCs w:val="28"/>
              </w:rPr>
              <w:t>Закону України «Про Державний бюджет України на 2024 рік», постанов Кабінету Міністрів України від 18 січня 2017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      2024 році»</w:t>
            </w:r>
          </w:p>
        </w:tc>
      </w:tr>
      <w:tr w:rsidR="00CA08F4" w:rsidRPr="0078223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CA08F4" w:rsidRPr="00782232" w:rsidRDefault="00CA08F4" w:rsidP="00CA08F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0F27FE26" w:rsidR="00CA08F4" w:rsidRDefault="00CA08F4" w:rsidP="00CA0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0C4DA6B7" w14:textId="77777777" w:rsidR="003C10B6" w:rsidRDefault="003C10B6" w:rsidP="00CA08F4">
            <w:pPr>
              <w:jc w:val="both"/>
              <w:rPr>
                <w:rFonts w:ascii="Times New Roman" w:hAnsi="Times New Roman" w:cs="Times New Roman"/>
              </w:rPr>
            </w:pPr>
          </w:p>
          <w:p w14:paraId="050C0532" w14:textId="1CA1ED40" w:rsidR="00CA08F4" w:rsidRPr="0076270F" w:rsidRDefault="00CA08F4" w:rsidP="00CA08F4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A08F4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2F59DD47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258AAC2F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53FC542D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123618AB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5D1530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4E02ADB3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FE32A42" w14:textId="77777777" w:rsidR="0032543B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610DB43C" w14:textId="77777777" w:rsidR="0032543B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32543B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 xml:space="preserve"> «Про очищення влади» </w:t>
            </w:r>
            <w:r w:rsidRPr="0072191D">
              <w:t>(за наявності)</w:t>
            </w:r>
            <w:r w:rsidRPr="00A07621">
              <w:t>;</w:t>
            </w:r>
          </w:p>
          <w:p w14:paraId="040104D8" w14:textId="2FC46FE3" w:rsidR="00CA08F4" w:rsidRPr="00A07621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32543B">
              <w:rPr>
                <w:shd w:val="clear" w:color="auto" w:fill="FFFFFF"/>
              </w:rPr>
              <w:lastRenderedPageBreak/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362381AD" w14:textId="35CF2760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E1DAA3F" w14:textId="7318EDC7" w:rsidR="00CA08F4" w:rsidRPr="00A07621" w:rsidRDefault="00CA08F4" w:rsidP="00CA08F4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27ED2CB3" w14:textId="0FD15D14" w:rsidR="00836608" w:rsidRPr="00A07621" w:rsidRDefault="00CA08F4" w:rsidP="00A0503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0B12B0">
              <w:t xml:space="preserve">Документи приймаються </w:t>
            </w:r>
            <w:r w:rsidRPr="000B12B0">
              <w:rPr>
                <w:b/>
                <w:bCs/>
              </w:rPr>
              <w:t>до</w:t>
            </w:r>
            <w:r w:rsidR="003C10B6">
              <w:rPr>
                <w:b/>
                <w:bCs/>
              </w:rPr>
              <w:t xml:space="preserve"> </w:t>
            </w:r>
            <w:r w:rsidR="00C62B8E">
              <w:rPr>
                <w:b/>
                <w:bCs/>
              </w:rPr>
              <w:t>18</w:t>
            </w:r>
            <w:r w:rsidR="003C10B6">
              <w:rPr>
                <w:b/>
                <w:bCs/>
              </w:rPr>
              <w:t>.00 години</w:t>
            </w:r>
            <w:r w:rsidRPr="000B12B0">
              <w:rPr>
                <w:b/>
                <w:bCs/>
              </w:rPr>
              <w:t xml:space="preserve"> </w:t>
            </w:r>
            <w:r w:rsidR="00C62B8E">
              <w:rPr>
                <w:b/>
                <w:bCs/>
              </w:rPr>
              <w:t>1</w:t>
            </w:r>
            <w:r w:rsidR="00A42845">
              <w:rPr>
                <w:b/>
                <w:bCs/>
              </w:rPr>
              <w:t>2</w:t>
            </w:r>
            <w:r w:rsidRPr="000B12B0">
              <w:rPr>
                <w:b/>
                <w:bCs/>
              </w:rPr>
              <w:t xml:space="preserve"> </w:t>
            </w:r>
            <w:r w:rsidR="00C62B8E">
              <w:rPr>
                <w:b/>
                <w:bCs/>
              </w:rPr>
              <w:t>березня</w:t>
            </w:r>
            <w:r w:rsidR="003C10B6">
              <w:rPr>
                <w:b/>
                <w:bCs/>
              </w:rPr>
              <w:t xml:space="preserve">           </w:t>
            </w:r>
            <w:r w:rsidRPr="000B12B0">
              <w:rPr>
                <w:b/>
                <w:bCs/>
              </w:rPr>
              <w:t>202</w:t>
            </w:r>
            <w:r w:rsidR="00C62B8E">
              <w:rPr>
                <w:b/>
                <w:bCs/>
              </w:rPr>
              <w:t>4</w:t>
            </w:r>
            <w:r w:rsidRPr="000B12B0">
              <w:rPr>
                <w:b/>
                <w:bCs/>
              </w:rPr>
              <w:t xml:space="preserve"> року</w:t>
            </w:r>
            <w:r w:rsidR="003C10B6">
              <w:rPr>
                <w:b/>
                <w:bCs/>
              </w:rPr>
              <w:t xml:space="preserve"> </w:t>
            </w:r>
            <w:r w:rsidRPr="000B12B0">
              <w:t>на</w:t>
            </w:r>
            <w:r w:rsidR="003C10B6">
              <w:t xml:space="preserve"> </w:t>
            </w:r>
            <w:r w:rsidRPr="000B12B0">
              <w:rPr>
                <w:b/>
                <w:bCs/>
              </w:rPr>
              <w:t>електронну</w:t>
            </w:r>
            <w:r w:rsidR="003C10B6">
              <w:rPr>
                <w:b/>
                <w:bCs/>
              </w:rPr>
              <w:t xml:space="preserve"> </w:t>
            </w:r>
            <w:r w:rsidRPr="000B12B0">
              <w:rPr>
                <w:b/>
                <w:bCs/>
              </w:rPr>
              <w:t>адресу:</w:t>
            </w:r>
            <w:r w:rsidRPr="000B12B0">
              <w:t xml:space="preserve"> </w:t>
            </w:r>
            <w:r w:rsidR="0072191D" w:rsidRPr="000B12B0">
              <w:rPr>
                <w:b/>
                <w:bCs/>
                <w:u w:val="single"/>
              </w:rPr>
              <w:t>kadry.lug.prokoffice@gmail.com</w:t>
            </w:r>
            <w:r w:rsidRPr="000B12B0">
              <w:t xml:space="preserve"> </w:t>
            </w:r>
          </w:p>
        </w:tc>
      </w:tr>
      <w:tr w:rsidR="00CA08F4" w:rsidRPr="0078223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5D418469" w14:textId="4CCC72C5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 xml:space="preserve">телефону </w:t>
            </w:r>
            <w:r w:rsidRPr="00782232">
              <w:rPr>
                <w:rFonts w:ascii="Times New Roman" w:hAnsi="Times New Roman" w:cs="Times New Roman"/>
              </w:rPr>
              <w:t xml:space="preserve">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2CDDF460" w14:textId="77777777" w:rsidR="00A05037" w:rsidRPr="00FC26A8" w:rsidRDefault="00A05037" w:rsidP="00A05037">
            <w:pPr>
              <w:rPr>
                <w:rFonts w:ascii="Times New Roman" w:hAnsi="Times New Roman" w:cs="Times New Roman"/>
              </w:rPr>
            </w:pPr>
            <w:r w:rsidRPr="00FC26A8">
              <w:rPr>
                <w:rFonts w:ascii="Times New Roman" w:hAnsi="Times New Roman" w:cs="Times New Roman"/>
              </w:rPr>
              <w:t xml:space="preserve">Шетілова Анастасія Валеріївна </w:t>
            </w:r>
          </w:p>
          <w:p w14:paraId="75D7E814" w14:textId="77777777" w:rsidR="00A05037" w:rsidRDefault="00A05037" w:rsidP="00A05037">
            <w:pPr>
              <w:rPr>
                <w:rFonts w:ascii="Times New Roman" w:hAnsi="Times New Roman" w:cs="Times New Roman"/>
              </w:rPr>
            </w:pPr>
          </w:p>
          <w:p w14:paraId="59F4E50F" w14:textId="2DC190AC" w:rsidR="00A05037" w:rsidRPr="00EA494E" w:rsidRDefault="00A05037" w:rsidP="00A05037">
            <w:pPr>
              <w:rPr>
                <w:rFonts w:ascii="Times New Roman" w:hAnsi="Times New Roman" w:cs="Times New Roman"/>
              </w:rPr>
            </w:pPr>
            <w:r w:rsidRPr="00FC26A8">
              <w:rPr>
                <w:rFonts w:ascii="Times New Roman" w:hAnsi="Times New Roman" w:cs="Times New Roman"/>
              </w:rPr>
              <w:t>+38(0</w:t>
            </w:r>
            <w:r>
              <w:rPr>
                <w:rFonts w:ascii="Times New Roman" w:hAnsi="Times New Roman" w:cs="Times New Roman"/>
              </w:rPr>
              <w:t>66</w:t>
            </w:r>
            <w:r w:rsidRPr="00FC26A8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815</w:t>
            </w:r>
            <w:r w:rsidRPr="00FC26A8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6</w:t>
            </w:r>
            <w:r w:rsidRPr="00FC26A8">
              <w:rPr>
                <w:rFonts w:ascii="Times New Roman" w:hAnsi="Times New Roman" w:cs="Times New Roman"/>
              </w:rPr>
              <w:t>-93</w:t>
            </w:r>
            <w:r w:rsidRPr="00EA494E">
              <w:rPr>
                <w:rFonts w:ascii="Times New Roman" w:hAnsi="Times New Roman" w:cs="Times New Roman"/>
              </w:rPr>
              <w:t xml:space="preserve"> </w:t>
            </w:r>
          </w:p>
          <w:p w14:paraId="230456A7" w14:textId="77777777" w:rsidR="00A05037" w:rsidRPr="00EA494E" w:rsidRDefault="00A05037" w:rsidP="00A05037">
            <w:pPr>
              <w:rPr>
                <w:rFonts w:ascii="Times New Roman" w:hAnsi="Times New Roman" w:cs="Times New Roman"/>
              </w:rPr>
            </w:pPr>
          </w:p>
          <w:p w14:paraId="3581A15D" w14:textId="787D1536" w:rsidR="00CA08F4" w:rsidRPr="00A07621" w:rsidRDefault="00FE4D84" w:rsidP="00A05037">
            <w:pPr>
              <w:rPr>
                <w:rFonts w:ascii="Times New Roman" w:hAnsi="Times New Roman" w:cs="Times New Roman"/>
              </w:rPr>
            </w:pPr>
            <w:hyperlink r:id="rId8" w:history="1">
              <w:r w:rsidR="00A05037" w:rsidRPr="00DD778A">
                <w:rPr>
                  <w:rStyle w:val="ae"/>
                  <w:rFonts w:ascii="Times New Roman" w:hAnsi="Times New Roman" w:cs="Times New Roman"/>
                </w:rPr>
                <w:t>kadry.lug.prokoffice@gmail.com</w:t>
              </w:r>
            </w:hyperlink>
          </w:p>
        </w:tc>
      </w:tr>
      <w:tr w:rsidR="00CA08F4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CA08F4" w:rsidRPr="00782232" w14:paraId="0C400317" w14:textId="77777777" w:rsidTr="001330BA">
        <w:tc>
          <w:tcPr>
            <w:tcW w:w="675" w:type="dxa"/>
          </w:tcPr>
          <w:p w14:paraId="5F20D48F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4FB1739B" w:rsidR="00CA08F4" w:rsidRPr="00900BCD" w:rsidRDefault="00CA08F4" w:rsidP="00CA08F4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900BCD"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5A3D4F">
              <w:rPr>
                <w:rFonts w:ascii="Times New Roman" w:hAnsi="Times New Roman" w:cs="Times New Roman"/>
              </w:rPr>
              <w:t>магістра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A3D4F" w:rsidRPr="005A3D4F">
              <w:rPr>
                <w:rFonts w:ascii="Times New Roman" w:hAnsi="Times New Roman" w:cs="Times New Roman"/>
                <w:shd w:val="clear" w:color="auto" w:fill="FFFFFF"/>
              </w:rPr>
              <w:t xml:space="preserve">або спеціаліста.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(спеціальність </w:t>
            </w:r>
            <w:r w:rsidRPr="00871E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«Право»</w:t>
            </w:r>
            <w:r w:rsidR="00795F32" w:rsidRPr="00795F3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CA08F4" w:rsidRPr="00782232" w14:paraId="4712D3D6" w14:textId="77777777" w:rsidTr="001330BA">
        <w:tc>
          <w:tcPr>
            <w:tcW w:w="675" w:type="dxa"/>
          </w:tcPr>
          <w:p w14:paraId="0EC33CD6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0ED97B1A" w:rsidR="00CA08F4" w:rsidRPr="00900BCD" w:rsidRDefault="005A3D4F" w:rsidP="00CA08F4">
            <w:pPr>
              <w:jc w:val="both"/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CA08F4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CA08F4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A08F4" w:rsidRPr="00782232" w14:paraId="788CD8DA" w14:textId="77777777" w:rsidTr="001330BA">
        <w:tc>
          <w:tcPr>
            <w:tcW w:w="675" w:type="dxa"/>
          </w:tcPr>
          <w:p w14:paraId="05E32515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AE3045" w:rsidRPr="00782232" w14:paraId="66DCA527" w14:textId="77777777" w:rsidTr="001330BA">
        <w:tc>
          <w:tcPr>
            <w:tcW w:w="675" w:type="dxa"/>
          </w:tcPr>
          <w:p w14:paraId="3F2855A2" w14:textId="6279E905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69F734" w14:textId="475B351E" w:rsidR="00AE3045" w:rsidRPr="003C10B6" w:rsidRDefault="00603D8C" w:rsidP="00AE3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03D8C">
              <w:rPr>
                <w:rFonts w:ascii="Times New Roman" w:hAnsi="Times New Roman" w:cs="Times New Roman"/>
                <w:color w:val="auto"/>
              </w:rPr>
              <w:t>Лідерство</w:t>
            </w:r>
          </w:p>
        </w:tc>
        <w:tc>
          <w:tcPr>
            <w:tcW w:w="6310" w:type="dxa"/>
          </w:tcPr>
          <w:p w14:paraId="413D4714" w14:textId="7D2FC222" w:rsidR="00AE3045" w:rsidRPr="003C10B6" w:rsidRDefault="00AE3045" w:rsidP="00AE3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C10B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603D8C" w:rsidRPr="00603D8C">
              <w:rPr>
                <w:rFonts w:ascii="Times New Roman" w:hAnsi="Times New Roman" w:cs="Times New Roman"/>
                <w:color w:val="auto"/>
              </w:rPr>
              <w:t>вміння мотивувати до ефективної професійної діяльності</w:t>
            </w:r>
            <w:r w:rsidRPr="003C10B6">
              <w:rPr>
                <w:rFonts w:ascii="Times New Roman" w:hAnsi="Times New Roman" w:cs="Times New Roman"/>
                <w:color w:val="auto"/>
              </w:rPr>
              <w:t>;</w:t>
            </w:r>
            <w:r w:rsidRPr="003C10B6">
              <w:rPr>
                <w:rFonts w:ascii="Times New Roman" w:hAnsi="Times New Roman" w:cs="Times New Roman"/>
                <w:color w:val="auto"/>
              </w:rPr>
              <w:br/>
              <w:t xml:space="preserve">- </w:t>
            </w:r>
            <w:r w:rsidR="00603D8C" w:rsidRPr="00603D8C">
              <w:rPr>
                <w:rFonts w:ascii="Times New Roman" w:hAnsi="Times New Roman" w:cs="Times New Roman"/>
                <w:color w:val="auto"/>
              </w:rPr>
              <w:t>сприяння всебічному розвитку особистості</w:t>
            </w:r>
            <w:r w:rsidRPr="003C10B6">
              <w:rPr>
                <w:rFonts w:ascii="Times New Roman" w:hAnsi="Times New Roman" w:cs="Times New Roman"/>
                <w:color w:val="auto"/>
              </w:rPr>
              <w:t>;</w:t>
            </w:r>
            <w:r w:rsidRPr="003C10B6">
              <w:rPr>
                <w:rFonts w:ascii="Times New Roman" w:hAnsi="Times New Roman" w:cs="Times New Roman"/>
                <w:color w:val="auto"/>
              </w:rPr>
              <w:br/>
              <w:t xml:space="preserve">- </w:t>
            </w:r>
            <w:r w:rsidR="00603D8C" w:rsidRPr="00603D8C">
              <w:rPr>
                <w:rFonts w:ascii="Times New Roman" w:hAnsi="Times New Roman" w:cs="Times New Roman"/>
                <w:color w:val="auto"/>
              </w:rPr>
              <w:t>вміння делегувати повноваження та управляти результатами діяльності</w:t>
            </w:r>
            <w:r w:rsidRPr="003C10B6">
              <w:rPr>
                <w:rFonts w:ascii="Times New Roman" w:hAnsi="Times New Roman" w:cs="Times New Roman"/>
                <w:color w:val="auto"/>
              </w:rPr>
              <w:t>;</w:t>
            </w:r>
            <w:r w:rsidRPr="003C10B6">
              <w:rPr>
                <w:rFonts w:ascii="Times New Roman" w:hAnsi="Times New Roman" w:cs="Times New Roman"/>
                <w:color w:val="auto"/>
              </w:rPr>
              <w:br/>
              <w:t xml:space="preserve">- </w:t>
            </w:r>
            <w:r w:rsidR="00603D8C" w:rsidRPr="00603D8C">
              <w:rPr>
                <w:rFonts w:ascii="Times New Roman" w:hAnsi="Times New Roman" w:cs="Times New Roman"/>
                <w:color w:val="auto"/>
              </w:rPr>
              <w:t>здатність до формування ефективної організаційної культури державної служби</w:t>
            </w:r>
            <w:r w:rsidR="00603D8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E3045" w:rsidRPr="00782232" w14:paraId="038205E3" w14:textId="77777777" w:rsidTr="001330BA">
        <w:tc>
          <w:tcPr>
            <w:tcW w:w="675" w:type="dxa"/>
          </w:tcPr>
          <w:p w14:paraId="4E681815" w14:textId="2013277A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234C3079" w14:textId="4F001123" w:rsidR="00AE3045" w:rsidRPr="005A3D4F" w:rsidRDefault="00603D8C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603D8C">
              <w:rPr>
                <w:rFonts w:ascii="Times New Roman" w:eastAsia="Times New Roman" w:hAnsi="Times New Roman" w:cs="Times New Roman"/>
              </w:rPr>
              <w:t>Впровадження змін</w:t>
            </w:r>
          </w:p>
        </w:tc>
        <w:tc>
          <w:tcPr>
            <w:tcW w:w="6310" w:type="dxa"/>
          </w:tcPr>
          <w:p w14:paraId="40189194" w14:textId="7A1302E2" w:rsidR="00AE3045" w:rsidRPr="005A3D4F" w:rsidRDefault="00AE3045" w:rsidP="00A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</w:t>
            </w:r>
            <w:r w:rsidR="00603D8C" w:rsidRPr="00603D8C">
              <w:rPr>
                <w:rFonts w:ascii="Times New Roman" w:hAnsi="Times New Roman" w:cs="Times New Roman"/>
              </w:rPr>
              <w:t>о</w:t>
            </w:r>
            <w:r w:rsidR="00603D8C" w:rsidRPr="00603D8C">
              <w:rPr>
                <w:rFonts w:ascii="Times New Roman" w:eastAsia="Times New Roman" w:hAnsi="Times New Roman" w:cs="Times New Roman"/>
              </w:rPr>
              <w:t>рієнтація на реорганізацію для спрощення, підвищення прозорості та ефективності</w:t>
            </w:r>
            <w:r w:rsidRPr="005A3D4F">
              <w:rPr>
                <w:rFonts w:ascii="Times New Roman" w:eastAsia="Times New Roman" w:hAnsi="Times New Roman" w:cs="Times New Roman"/>
              </w:rPr>
              <w:t>;</w:t>
            </w:r>
          </w:p>
          <w:p w14:paraId="0995A686" w14:textId="18728710" w:rsidR="00AE3045" w:rsidRPr="005A3D4F" w:rsidRDefault="00AE3045" w:rsidP="00A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</w:t>
            </w:r>
            <w:r w:rsidR="00603D8C" w:rsidRPr="00603D8C">
              <w:rPr>
                <w:rFonts w:ascii="Times New Roman" w:eastAsia="Times New Roman" w:hAnsi="Times New Roman" w:cs="Times New Roman"/>
              </w:rPr>
              <w:t>здатність впроваджувати інноваційні рішення, рішучість та орієнтованість на результат</w:t>
            </w:r>
            <w:r w:rsidRPr="005A3D4F">
              <w:rPr>
                <w:rFonts w:ascii="Times New Roman" w:eastAsia="Times New Roman" w:hAnsi="Times New Roman" w:cs="Times New Roman"/>
              </w:rPr>
              <w:t>;</w:t>
            </w:r>
          </w:p>
          <w:p w14:paraId="16EFCDCD" w14:textId="77777777" w:rsidR="00AE3045" w:rsidRPr="00603D8C" w:rsidRDefault="00AE3045" w:rsidP="00AE3045">
            <w:pPr>
              <w:numPr>
                <w:ilvl w:val="0"/>
                <w:numId w:val="22"/>
              </w:numPr>
              <w:tabs>
                <w:tab w:val="left" w:pos="271"/>
              </w:tabs>
              <w:ind w:left="0" w:hanging="245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03D8C">
              <w:t xml:space="preserve"> </w:t>
            </w:r>
            <w:r w:rsidR="00603D8C" w:rsidRPr="00603D8C">
              <w:rPr>
                <w:rFonts w:ascii="Times New Roman" w:eastAsia="Times New Roman" w:hAnsi="Times New Roman" w:cs="Times New Roman"/>
              </w:rPr>
              <w:t>здатність підтримувати зміни та працювати з реакцією на них, спрямованість на залучення зацікавлених сторін</w:t>
            </w:r>
            <w:r w:rsidR="00603D8C">
              <w:rPr>
                <w:rFonts w:ascii="Times New Roman" w:eastAsia="Times New Roman" w:hAnsi="Times New Roman" w:cs="Times New Roman"/>
              </w:rPr>
              <w:t>;</w:t>
            </w:r>
          </w:p>
          <w:p w14:paraId="2EC62B90" w14:textId="6E20D2BD" w:rsidR="00603D8C" w:rsidRPr="005A3D4F" w:rsidRDefault="00603D8C" w:rsidP="00AE3045">
            <w:pPr>
              <w:numPr>
                <w:ilvl w:val="0"/>
                <w:numId w:val="22"/>
              </w:numPr>
              <w:tabs>
                <w:tab w:val="left" w:pos="271"/>
              </w:tabs>
              <w:ind w:left="0" w:hanging="245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03D8C">
              <w:rPr>
                <w:rFonts w:ascii="Times New Roman" w:hAnsi="Times New Roman" w:cs="Times New Roman"/>
                <w:bCs/>
                <w:lang w:eastAsia="ru-RU"/>
              </w:rPr>
              <w:t>вміння оцінювати ефективність впровадження змін</w:t>
            </w:r>
          </w:p>
        </w:tc>
      </w:tr>
      <w:tr w:rsidR="00AE3045" w:rsidRPr="00782232" w14:paraId="03C698D9" w14:textId="77777777" w:rsidTr="001330BA">
        <w:tc>
          <w:tcPr>
            <w:tcW w:w="675" w:type="dxa"/>
          </w:tcPr>
          <w:p w14:paraId="2E288F63" w14:textId="7E9982B4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5118C19" w14:textId="297E4D33" w:rsidR="00AE3045" w:rsidRPr="005A3D4F" w:rsidRDefault="00603D8C" w:rsidP="00AE304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D8C">
              <w:rPr>
                <w:rFonts w:ascii="Times New Roman" w:eastAsia="Times New Roman" w:hAnsi="Times New Roman" w:cs="Times New Roman"/>
              </w:rPr>
              <w:t>Управління організацією роботи</w:t>
            </w:r>
          </w:p>
        </w:tc>
        <w:tc>
          <w:tcPr>
            <w:tcW w:w="6310" w:type="dxa"/>
          </w:tcPr>
          <w:p w14:paraId="1ED6DA18" w14:textId="3A18269E" w:rsidR="00AE3045" w:rsidRPr="005A3D4F" w:rsidRDefault="00AE3045" w:rsidP="00AE3045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414"/>
              </w:tabs>
              <w:ind w:left="0"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03D8C">
              <w:t xml:space="preserve"> </w:t>
            </w:r>
            <w:r w:rsidR="00603D8C" w:rsidRPr="00603D8C">
              <w:rPr>
                <w:rFonts w:ascii="Times New Roman" w:eastAsia="Times New Roman" w:hAnsi="Times New Roman" w:cs="Times New Roman"/>
              </w:rPr>
              <w:t>чітке бачення цілі</w:t>
            </w:r>
            <w:r w:rsidRPr="005A3D4F">
              <w:rPr>
                <w:rFonts w:ascii="Times New Roman" w:eastAsia="Times New Roman" w:hAnsi="Times New Roman" w:cs="Times New Roman"/>
              </w:rPr>
              <w:t>;</w:t>
            </w:r>
          </w:p>
          <w:p w14:paraId="33797E58" w14:textId="478341B9" w:rsidR="00AE3045" w:rsidRPr="005A3D4F" w:rsidRDefault="00AE3045" w:rsidP="00AE3045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414"/>
              </w:tabs>
              <w:ind w:left="0"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03D8C">
              <w:t xml:space="preserve"> </w:t>
            </w:r>
            <w:r w:rsidR="00603D8C" w:rsidRPr="00603D8C">
              <w:rPr>
                <w:rFonts w:ascii="Times New Roman" w:eastAsia="Times New Roman" w:hAnsi="Times New Roman" w:cs="Times New Roman"/>
              </w:rPr>
              <w:t>ефективне управління ресурсами</w:t>
            </w:r>
            <w:r w:rsidRPr="005A3D4F">
              <w:rPr>
                <w:rFonts w:ascii="Times New Roman" w:eastAsia="Times New Roman" w:hAnsi="Times New Roman" w:cs="Times New Roman"/>
              </w:rPr>
              <w:t>;</w:t>
            </w:r>
          </w:p>
          <w:p w14:paraId="2262D3B5" w14:textId="77777777" w:rsidR="00AE3045" w:rsidRDefault="00AE3045" w:rsidP="00AE3045">
            <w:pPr>
              <w:numPr>
                <w:ilvl w:val="0"/>
                <w:numId w:val="22"/>
              </w:numPr>
              <w:tabs>
                <w:tab w:val="left" w:pos="241"/>
              </w:tabs>
              <w:ind w:left="0" w:hanging="2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03D8C">
              <w:t xml:space="preserve"> </w:t>
            </w:r>
            <w:r w:rsidR="00603D8C" w:rsidRPr="00603D8C">
              <w:rPr>
                <w:rFonts w:ascii="Times New Roman" w:eastAsia="Times New Roman" w:hAnsi="Times New Roman" w:cs="Times New Roman"/>
              </w:rPr>
              <w:t>чітке планування реалізації</w:t>
            </w:r>
            <w:r w:rsidR="00603D8C">
              <w:rPr>
                <w:rFonts w:ascii="Times New Roman" w:eastAsia="Times New Roman" w:hAnsi="Times New Roman" w:cs="Times New Roman"/>
              </w:rPr>
              <w:t>;</w:t>
            </w:r>
          </w:p>
          <w:p w14:paraId="74A1F1CF" w14:textId="7BD12726" w:rsidR="00603D8C" w:rsidRPr="005A3D4F" w:rsidRDefault="00603D8C" w:rsidP="00AE3045">
            <w:pPr>
              <w:numPr>
                <w:ilvl w:val="0"/>
                <w:numId w:val="22"/>
              </w:numPr>
              <w:tabs>
                <w:tab w:val="left" w:pos="241"/>
              </w:tabs>
              <w:ind w:left="0" w:hanging="2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03D8C">
              <w:rPr>
                <w:rFonts w:ascii="Times New Roman" w:eastAsia="Times New Roman" w:hAnsi="Times New Roman" w:cs="Times New Roman"/>
              </w:rPr>
              <w:t>ефективне формування та управління процесами</w:t>
            </w:r>
          </w:p>
        </w:tc>
      </w:tr>
      <w:tr w:rsidR="00AE3045" w:rsidRPr="00782232" w14:paraId="260CD47F" w14:textId="77777777" w:rsidTr="00871E86">
        <w:trPr>
          <w:trHeight w:val="748"/>
        </w:trPr>
        <w:tc>
          <w:tcPr>
            <w:tcW w:w="675" w:type="dxa"/>
          </w:tcPr>
          <w:p w14:paraId="74E2800A" w14:textId="20796778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3056FD37" w14:textId="23F262FC" w:rsidR="00AE3045" w:rsidRPr="005A3D4F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Відповідальність</w:t>
            </w:r>
          </w:p>
        </w:tc>
        <w:tc>
          <w:tcPr>
            <w:tcW w:w="6310" w:type="dxa"/>
          </w:tcPr>
          <w:p w14:paraId="4650C6D9" w14:textId="25E8196D" w:rsidR="00AE3045" w:rsidRPr="005A3D4F" w:rsidRDefault="00AE3045" w:rsidP="00AE3045">
            <w:pPr>
              <w:ind w:right="12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E94F38" w14:textId="359E9695" w:rsidR="00AE3045" w:rsidRPr="005A3D4F" w:rsidRDefault="00AE3045" w:rsidP="00AE3045">
            <w:pPr>
              <w:ind w:right="12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1B273AF" w14:textId="43075B38" w:rsidR="00AE3045" w:rsidRPr="005A3D4F" w:rsidRDefault="00AE3045" w:rsidP="00AE3045">
            <w:pPr>
              <w:numPr>
                <w:ilvl w:val="0"/>
                <w:numId w:val="22"/>
              </w:numPr>
              <w:tabs>
                <w:tab w:val="left" w:pos="241"/>
              </w:tabs>
              <w:ind w:left="0" w:hanging="245"/>
              <w:jc w:val="both"/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-здатність брати на себе зобов’язання,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3D4F" w:rsidRPr="00782232" w14:paraId="08BC2B80" w14:textId="77777777" w:rsidTr="00871E86">
        <w:trPr>
          <w:trHeight w:val="748"/>
        </w:trPr>
        <w:tc>
          <w:tcPr>
            <w:tcW w:w="675" w:type="dxa"/>
          </w:tcPr>
          <w:p w14:paraId="5A517983" w14:textId="7ED93BB2" w:rsidR="005A3D4F" w:rsidRPr="00782232" w:rsidRDefault="00AE3045" w:rsidP="005A3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A3D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B4ACC33" w14:textId="77777777" w:rsidR="005A3D4F" w:rsidRPr="005A3D4F" w:rsidRDefault="005A3D4F" w:rsidP="005A3D4F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Комунікація та</w:t>
            </w:r>
          </w:p>
          <w:p w14:paraId="02AF84F7" w14:textId="7F88C1DA" w:rsidR="005A3D4F" w:rsidRPr="005A3D4F" w:rsidRDefault="005A3D4F" w:rsidP="005A3D4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взаємодія</w:t>
            </w:r>
          </w:p>
        </w:tc>
        <w:tc>
          <w:tcPr>
            <w:tcW w:w="6310" w:type="dxa"/>
          </w:tcPr>
          <w:p w14:paraId="3C81B5D1" w14:textId="1A91049F" w:rsidR="005A3D4F" w:rsidRPr="005A3D4F" w:rsidRDefault="005A3D4F" w:rsidP="005A3D4F">
            <w:pP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-вміння визначати заінтересовані і впливові сторони та розбудовувати партнерські відносини;</w:t>
            </w:r>
          </w:p>
          <w:p w14:paraId="5728E2E0" w14:textId="486B06DA" w:rsidR="005A3D4F" w:rsidRPr="005A3D4F" w:rsidRDefault="005A3D4F" w:rsidP="005A3D4F">
            <w:pP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-здатність ефективно взаємодіяти – дослухатися, сприймати та викладати думку;</w:t>
            </w:r>
          </w:p>
          <w:p w14:paraId="56947DF2" w14:textId="4CF2B0C9" w:rsidR="005A3D4F" w:rsidRPr="005A3D4F" w:rsidRDefault="005A3D4F" w:rsidP="005A3D4F">
            <w:pP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-вміння публічно виступати перед аудиторією;</w:t>
            </w:r>
          </w:p>
          <w:p w14:paraId="228CA5AA" w14:textId="6E8E4399" w:rsidR="005A3D4F" w:rsidRPr="005A3D4F" w:rsidRDefault="0013215A" w:rsidP="005A3D4F">
            <w:pPr>
              <w:numPr>
                <w:ilvl w:val="0"/>
                <w:numId w:val="22"/>
              </w:numPr>
              <w:tabs>
                <w:tab w:val="left" w:pos="241"/>
              </w:tabs>
              <w:ind w:left="0" w:hanging="245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A3D4F" w:rsidRPr="005A3D4F">
              <w:rPr>
                <w:rFonts w:ascii="Times New Roman" w:eastAsia="Times New Roman" w:hAnsi="Times New Roman" w:cs="Times New Roman"/>
              </w:rPr>
              <w:t>здатність переконувати інших за допомогою аргументів та послідовної комунікації</w:t>
            </w:r>
            <w:r w:rsidR="005A3D4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A08F4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CA08F4" w:rsidRPr="000004E9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CA08F4" w:rsidRPr="00782232" w:rsidRDefault="00CA08F4" w:rsidP="00CA08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08F4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5A3D4F" w:rsidRPr="00782232" w14:paraId="5DF6EA55" w14:textId="77777777" w:rsidTr="00871E86">
        <w:trPr>
          <w:trHeight w:val="1415"/>
        </w:trPr>
        <w:tc>
          <w:tcPr>
            <w:tcW w:w="675" w:type="dxa"/>
          </w:tcPr>
          <w:p w14:paraId="6BE4922E" w14:textId="77777777" w:rsidR="005A3D4F" w:rsidRPr="00782232" w:rsidRDefault="005A3D4F" w:rsidP="005A3D4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38C918B1" w:rsidR="005A3D4F" w:rsidRPr="005A3D4F" w:rsidRDefault="005A3D4F" w:rsidP="005A3D4F">
            <w:pPr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458EFF8" w14:textId="77777777" w:rsidR="005A3D4F" w:rsidRPr="005A3D4F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Знання:</w:t>
            </w:r>
          </w:p>
          <w:p w14:paraId="22FAE013" w14:textId="77777777" w:rsidR="005A3D4F" w:rsidRPr="005A3D4F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0D7310B9" w14:textId="77777777" w:rsidR="005A3D4F" w:rsidRPr="005A3D4F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649C5F0A" w14:textId="12553831" w:rsidR="005A3D4F" w:rsidRPr="005A3D4F" w:rsidRDefault="005A3D4F" w:rsidP="005A3D4F">
            <w:pPr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5A3D4F" w:rsidRPr="00782232" w14:paraId="33CF2078" w14:textId="77777777" w:rsidTr="00900BCD">
        <w:trPr>
          <w:trHeight w:val="1247"/>
        </w:trPr>
        <w:tc>
          <w:tcPr>
            <w:tcW w:w="675" w:type="dxa"/>
          </w:tcPr>
          <w:p w14:paraId="6488A7B4" w14:textId="77777777" w:rsidR="005A3D4F" w:rsidRPr="00782232" w:rsidRDefault="005A3D4F" w:rsidP="005A3D4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019E93D7" w:rsidR="005A3D4F" w:rsidRPr="005A3D4F" w:rsidRDefault="005A3D4F" w:rsidP="005A3D4F">
            <w:pPr>
              <w:rPr>
                <w:rFonts w:ascii="Times New Roman" w:hAnsi="Times New Roman" w:cs="Times New Roman"/>
                <w:bCs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3B9A56DA" w14:textId="77777777" w:rsidR="005A3D4F" w:rsidRPr="005A3D4F" w:rsidRDefault="005A3D4F" w:rsidP="005A3D4F">
            <w:pPr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Знання:</w:t>
            </w:r>
          </w:p>
          <w:p w14:paraId="2B02C86F" w14:textId="77777777" w:rsidR="005A3D4F" w:rsidRPr="005A3D4F" w:rsidRDefault="005A3D4F" w:rsidP="005A3D4F">
            <w:pPr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 xml:space="preserve">Закону України «Про прокуратуру»; </w:t>
            </w:r>
          </w:p>
          <w:p w14:paraId="24D00419" w14:textId="77777777" w:rsidR="005A3D4F" w:rsidRPr="005A3D4F" w:rsidRDefault="005A3D4F" w:rsidP="005A3D4F">
            <w:pPr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Закону України «Про публічні закупівлі»;</w:t>
            </w:r>
          </w:p>
          <w:p w14:paraId="5B39E848" w14:textId="2AB1A49A" w:rsidR="005A3D4F" w:rsidRDefault="005A3D4F" w:rsidP="005A3D4F">
            <w:pPr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hAnsi="Times New Roman" w:cs="Times New Roman"/>
              </w:rPr>
              <w:t>Закону України «Про охорону праці»;</w:t>
            </w:r>
          </w:p>
          <w:p w14:paraId="7C04817B" w14:textId="59AFD24C" w:rsidR="004D1BDB" w:rsidRDefault="004D1BDB" w:rsidP="005A3D4F">
            <w:pPr>
              <w:rPr>
                <w:rFonts w:ascii="Times New Roman" w:hAnsi="Times New Roman" w:cs="Times New Roman"/>
              </w:rPr>
            </w:pPr>
            <w:r w:rsidRPr="004D1BDB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у</w:t>
            </w:r>
            <w:r w:rsidRPr="004D1BDB">
              <w:rPr>
                <w:rFonts w:ascii="Times New Roman" w:hAnsi="Times New Roman" w:cs="Times New Roman"/>
              </w:rPr>
              <w:t xml:space="preserve"> України «Про основні засади здійснення державного фінансового контролю в Україні»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469AC03" w14:textId="10604E7D" w:rsidR="004D1BDB" w:rsidRPr="005A3D4F" w:rsidRDefault="004D1BDB" w:rsidP="005A3D4F">
            <w:pPr>
              <w:rPr>
                <w:rFonts w:ascii="Times New Roman" w:hAnsi="Times New Roman" w:cs="Times New Roman"/>
              </w:rPr>
            </w:pPr>
            <w:r w:rsidRPr="004D1BDB">
              <w:rPr>
                <w:rFonts w:ascii="Times New Roman" w:hAnsi="Times New Roman" w:cs="Times New Roman"/>
              </w:rPr>
              <w:t>Постанов</w:t>
            </w:r>
            <w:r>
              <w:rPr>
                <w:rFonts w:ascii="Times New Roman" w:hAnsi="Times New Roman" w:cs="Times New Roman"/>
              </w:rPr>
              <w:t>и</w:t>
            </w:r>
            <w:r w:rsidRPr="004D1BDB">
              <w:rPr>
                <w:rFonts w:ascii="Times New Roman" w:hAnsi="Times New Roman" w:cs="Times New Roman"/>
              </w:rPr>
              <w:t xml:space="preserve"> КМУ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 скасування»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5790EAA5" w14:textId="77777777" w:rsidR="005A3D4F" w:rsidRPr="005A3D4F" w:rsidRDefault="005A3D4F" w:rsidP="005A3D4F">
            <w:pPr>
              <w:widowControl/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Порядку визначення предмета закупівлі, затвердженого наказом Міністерством розвитку та економіки, торгівлі та сільського господарства України № 708 від 15.04.2020;</w:t>
            </w:r>
          </w:p>
          <w:p w14:paraId="7C7FAA7D" w14:textId="74CAC488" w:rsidR="005A3D4F" w:rsidRDefault="005A3D4F" w:rsidP="005A3D4F">
            <w:pPr>
              <w:widowControl/>
              <w:tabs>
                <w:tab w:val="left" w:pos="4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Порядку розміщення інформації про публічні закупівлі, затвердженого наказом Міністерством розвитку та економіки, торгівлі та сільського господарства України № 1082 від 11.06.2020</w:t>
            </w:r>
            <w:r w:rsidR="004D1BDB">
              <w:rPr>
                <w:rFonts w:ascii="Times New Roman" w:eastAsia="Times New Roman" w:hAnsi="Times New Roman" w:cs="Times New Roman"/>
              </w:rPr>
              <w:t>;</w:t>
            </w:r>
          </w:p>
          <w:p w14:paraId="2E0C9579" w14:textId="492392FD" w:rsidR="004D1BDB" w:rsidRPr="005A3D4F" w:rsidRDefault="004D1BDB" w:rsidP="005A3D4F">
            <w:pPr>
              <w:widowControl/>
              <w:tabs>
                <w:tab w:val="left" w:pos="4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D1BDB">
              <w:rPr>
                <w:rFonts w:ascii="Times New Roman" w:eastAsia="Times New Roman" w:hAnsi="Times New Roman" w:cs="Times New Roman"/>
              </w:rPr>
              <w:t>Наказ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4D1BDB">
              <w:rPr>
                <w:rFonts w:ascii="Times New Roman" w:eastAsia="Times New Roman" w:hAnsi="Times New Roman" w:cs="Times New Roman"/>
              </w:rPr>
              <w:t xml:space="preserve"> Мінекономіки від 15.04.2020 № 708 «Про затвердження Порядку визначення предмета закупівлі»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00FEC5B" w:rsidR="004E7ABD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2DEB6123" w14:textId="39FA3BC7" w:rsidR="006C1D36" w:rsidRDefault="006C1D36" w:rsidP="001330BA">
      <w:pPr>
        <w:rPr>
          <w:rFonts w:ascii="Times New Roman" w:hAnsi="Times New Roman" w:cs="Times New Roman"/>
          <w:sz w:val="6"/>
          <w:szCs w:val="6"/>
        </w:rPr>
      </w:pPr>
    </w:p>
    <w:p w14:paraId="4FD426BF" w14:textId="77777777" w:rsidR="006C1D36" w:rsidRPr="00782232" w:rsidRDefault="006C1D36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798DAE96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B6FA9CD" w14:textId="2DEFB706" w:rsidR="00923AE5" w:rsidRDefault="00923AE5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782076B1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5A3D4F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14:paraId="7B9A7BC4" w14:textId="6DE860CC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Сергій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4F">
        <w:rPr>
          <w:rFonts w:ascii="Times New Roman" w:hAnsi="Times New Roman" w:cs="Times New Roman"/>
          <w:b/>
          <w:sz w:val="28"/>
          <w:szCs w:val="28"/>
        </w:rPr>
        <w:t>ЧЕРНОВ</w:t>
      </w:r>
    </w:p>
    <w:sectPr w:rsidR="00104190" w:rsidRPr="00C76DF3" w:rsidSect="005A3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15B1" w14:textId="77777777" w:rsidR="00FE4D84" w:rsidRDefault="00FE4D84" w:rsidP="0076449E">
      <w:r>
        <w:separator/>
      </w:r>
    </w:p>
  </w:endnote>
  <w:endnote w:type="continuationSeparator" w:id="0">
    <w:p w14:paraId="0A57B0E4" w14:textId="77777777" w:rsidR="00FE4D84" w:rsidRDefault="00FE4D84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00F1" w14:textId="77777777" w:rsidR="00FE4D84" w:rsidRDefault="00FE4D84" w:rsidP="0076449E">
      <w:r>
        <w:separator/>
      </w:r>
    </w:p>
  </w:footnote>
  <w:footnote w:type="continuationSeparator" w:id="0">
    <w:p w14:paraId="0419AD29" w14:textId="77777777" w:rsidR="00FE4D84" w:rsidRDefault="00FE4D84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77777777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C12903">
          <w:rPr>
            <w:rFonts w:ascii="Times New Roman" w:hAnsi="Times New Roman" w:cs="Times New Roman"/>
            <w:noProof/>
          </w:rPr>
          <w:t>2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DC00EB"/>
    <w:multiLevelType w:val="hybridMultilevel"/>
    <w:tmpl w:val="D422C442"/>
    <w:lvl w:ilvl="0" w:tplc="E3945748">
      <w:numFmt w:val="bullet"/>
      <w:lvlText w:val="-"/>
      <w:lvlJc w:val="left"/>
      <w:pPr>
        <w:ind w:left="36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140"/>
    <w:multiLevelType w:val="hybridMultilevel"/>
    <w:tmpl w:val="67ACBB26"/>
    <w:lvl w:ilvl="0" w:tplc="95AEA4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D4C96"/>
    <w:multiLevelType w:val="hybridMultilevel"/>
    <w:tmpl w:val="FB22FEAA"/>
    <w:lvl w:ilvl="0" w:tplc="A1A0E89A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5"/>
  </w:num>
  <w:num w:numId="5">
    <w:abstractNumId w:val="23"/>
  </w:num>
  <w:num w:numId="6">
    <w:abstractNumId w:val="22"/>
  </w:num>
  <w:num w:numId="7">
    <w:abstractNumId w:val="9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8"/>
  </w:num>
  <w:num w:numId="14">
    <w:abstractNumId w:val="0"/>
  </w:num>
  <w:num w:numId="15">
    <w:abstractNumId w:val="24"/>
  </w:num>
  <w:num w:numId="16">
    <w:abstractNumId w:val="19"/>
  </w:num>
  <w:num w:numId="17">
    <w:abstractNumId w:val="3"/>
  </w:num>
  <w:num w:numId="18">
    <w:abstractNumId w:val="10"/>
  </w:num>
  <w:num w:numId="19">
    <w:abstractNumId w:val="1"/>
  </w:num>
  <w:num w:numId="20">
    <w:abstractNumId w:val="12"/>
  </w:num>
  <w:num w:numId="21">
    <w:abstractNumId w:val="21"/>
  </w:num>
  <w:num w:numId="22">
    <w:abstractNumId w:val="20"/>
  </w:num>
  <w:num w:numId="23">
    <w:abstractNumId w:val="7"/>
  </w:num>
  <w:num w:numId="24">
    <w:abstractNumId w:val="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04E9"/>
    <w:rsid w:val="00002F4B"/>
    <w:rsid w:val="00007A55"/>
    <w:rsid w:val="000302B4"/>
    <w:rsid w:val="00033019"/>
    <w:rsid w:val="00051A7A"/>
    <w:rsid w:val="0005745B"/>
    <w:rsid w:val="00077E3F"/>
    <w:rsid w:val="00096280"/>
    <w:rsid w:val="000B12B0"/>
    <w:rsid w:val="000B1812"/>
    <w:rsid w:val="000B19C4"/>
    <w:rsid w:val="000B7720"/>
    <w:rsid w:val="000C0087"/>
    <w:rsid w:val="000C4165"/>
    <w:rsid w:val="000F3525"/>
    <w:rsid w:val="00102230"/>
    <w:rsid w:val="00104190"/>
    <w:rsid w:val="0013215A"/>
    <w:rsid w:val="001330BA"/>
    <w:rsid w:val="00137C68"/>
    <w:rsid w:val="00150777"/>
    <w:rsid w:val="00157104"/>
    <w:rsid w:val="00166529"/>
    <w:rsid w:val="001A0157"/>
    <w:rsid w:val="001A3373"/>
    <w:rsid w:val="001A5D30"/>
    <w:rsid w:val="001B0A71"/>
    <w:rsid w:val="001B141C"/>
    <w:rsid w:val="001B78B0"/>
    <w:rsid w:val="001C0A4A"/>
    <w:rsid w:val="001C2226"/>
    <w:rsid w:val="001F3ADA"/>
    <w:rsid w:val="002134EF"/>
    <w:rsid w:val="002779F6"/>
    <w:rsid w:val="00281576"/>
    <w:rsid w:val="00294F1A"/>
    <w:rsid w:val="002E0E05"/>
    <w:rsid w:val="002F1654"/>
    <w:rsid w:val="003070AB"/>
    <w:rsid w:val="0032543B"/>
    <w:rsid w:val="00335161"/>
    <w:rsid w:val="003370FC"/>
    <w:rsid w:val="00351CCE"/>
    <w:rsid w:val="003556DC"/>
    <w:rsid w:val="00356E4B"/>
    <w:rsid w:val="003761BF"/>
    <w:rsid w:val="00390DDC"/>
    <w:rsid w:val="003922C7"/>
    <w:rsid w:val="003968CF"/>
    <w:rsid w:val="003C10B6"/>
    <w:rsid w:val="003D0E00"/>
    <w:rsid w:val="003F6054"/>
    <w:rsid w:val="00415B22"/>
    <w:rsid w:val="004371B5"/>
    <w:rsid w:val="00445CB5"/>
    <w:rsid w:val="004579FA"/>
    <w:rsid w:val="00463479"/>
    <w:rsid w:val="004824FE"/>
    <w:rsid w:val="004900A4"/>
    <w:rsid w:val="00491060"/>
    <w:rsid w:val="004C3533"/>
    <w:rsid w:val="004D0653"/>
    <w:rsid w:val="004D1BDB"/>
    <w:rsid w:val="004E7ABD"/>
    <w:rsid w:val="004E7EE2"/>
    <w:rsid w:val="004F12A3"/>
    <w:rsid w:val="004F5E79"/>
    <w:rsid w:val="00516282"/>
    <w:rsid w:val="005318BD"/>
    <w:rsid w:val="00562E24"/>
    <w:rsid w:val="00592B14"/>
    <w:rsid w:val="005A3D4F"/>
    <w:rsid w:val="005B6A27"/>
    <w:rsid w:val="005E515D"/>
    <w:rsid w:val="006033FD"/>
    <w:rsid w:val="00603D8C"/>
    <w:rsid w:val="00605DD9"/>
    <w:rsid w:val="00622419"/>
    <w:rsid w:val="0062491C"/>
    <w:rsid w:val="006279FE"/>
    <w:rsid w:val="00635A0C"/>
    <w:rsid w:val="006440E9"/>
    <w:rsid w:val="0065429E"/>
    <w:rsid w:val="00664B95"/>
    <w:rsid w:val="00686B11"/>
    <w:rsid w:val="006A4B55"/>
    <w:rsid w:val="006A6A31"/>
    <w:rsid w:val="006C1D36"/>
    <w:rsid w:val="006C4F5B"/>
    <w:rsid w:val="006D6A9D"/>
    <w:rsid w:val="006D7D37"/>
    <w:rsid w:val="006E16C9"/>
    <w:rsid w:val="0072191D"/>
    <w:rsid w:val="00722C47"/>
    <w:rsid w:val="007450DE"/>
    <w:rsid w:val="0076270F"/>
    <w:rsid w:val="0076449E"/>
    <w:rsid w:val="0076454A"/>
    <w:rsid w:val="00765955"/>
    <w:rsid w:val="00776AAE"/>
    <w:rsid w:val="0078192D"/>
    <w:rsid w:val="00782232"/>
    <w:rsid w:val="00795F32"/>
    <w:rsid w:val="007A7B22"/>
    <w:rsid w:val="007B68ED"/>
    <w:rsid w:val="007C0F82"/>
    <w:rsid w:val="007D218E"/>
    <w:rsid w:val="007E7050"/>
    <w:rsid w:val="00801FB0"/>
    <w:rsid w:val="00814879"/>
    <w:rsid w:val="008249B5"/>
    <w:rsid w:val="00824C6D"/>
    <w:rsid w:val="0083659C"/>
    <w:rsid w:val="00836608"/>
    <w:rsid w:val="00861E94"/>
    <w:rsid w:val="00871E86"/>
    <w:rsid w:val="00895E2D"/>
    <w:rsid w:val="008A0A14"/>
    <w:rsid w:val="008A24AC"/>
    <w:rsid w:val="008C11D3"/>
    <w:rsid w:val="008C4B69"/>
    <w:rsid w:val="008D1A35"/>
    <w:rsid w:val="008D540C"/>
    <w:rsid w:val="008F0D78"/>
    <w:rsid w:val="008F534E"/>
    <w:rsid w:val="008F6C86"/>
    <w:rsid w:val="00900BCD"/>
    <w:rsid w:val="009023B9"/>
    <w:rsid w:val="0091278B"/>
    <w:rsid w:val="00920D4A"/>
    <w:rsid w:val="00923AE5"/>
    <w:rsid w:val="0095741F"/>
    <w:rsid w:val="00957C26"/>
    <w:rsid w:val="00964FC2"/>
    <w:rsid w:val="00982326"/>
    <w:rsid w:val="009C5B92"/>
    <w:rsid w:val="009D09E7"/>
    <w:rsid w:val="009D6E6C"/>
    <w:rsid w:val="009F2DC5"/>
    <w:rsid w:val="00A02DA7"/>
    <w:rsid w:val="00A05037"/>
    <w:rsid w:val="00A07621"/>
    <w:rsid w:val="00A12769"/>
    <w:rsid w:val="00A12A31"/>
    <w:rsid w:val="00A30157"/>
    <w:rsid w:val="00A400A9"/>
    <w:rsid w:val="00A42845"/>
    <w:rsid w:val="00A45012"/>
    <w:rsid w:val="00A628BD"/>
    <w:rsid w:val="00A72847"/>
    <w:rsid w:val="00A944AC"/>
    <w:rsid w:val="00AA26EE"/>
    <w:rsid w:val="00AA41B3"/>
    <w:rsid w:val="00AA6800"/>
    <w:rsid w:val="00AB03CF"/>
    <w:rsid w:val="00AB7833"/>
    <w:rsid w:val="00AE3045"/>
    <w:rsid w:val="00B46143"/>
    <w:rsid w:val="00B46564"/>
    <w:rsid w:val="00B90CE9"/>
    <w:rsid w:val="00BD4F43"/>
    <w:rsid w:val="00BD7391"/>
    <w:rsid w:val="00BE1839"/>
    <w:rsid w:val="00C07E8C"/>
    <w:rsid w:val="00C111D6"/>
    <w:rsid w:val="00C12903"/>
    <w:rsid w:val="00C16F4D"/>
    <w:rsid w:val="00C24A48"/>
    <w:rsid w:val="00C57DFC"/>
    <w:rsid w:val="00C6077C"/>
    <w:rsid w:val="00C62B8E"/>
    <w:rsid w:val="00C76DF3"/>
    <w:rsid w:val="00CA08F4"/>
    <w:rsid w:val="00CA102C"/>
    <w:rsid w:val="00CD5700"/>
    <w:rsid w:val="00CD5DD0"/>
    <w:rsid w:val="00CD60A9"/>
    <w:rsid w:val="00CE7604"/>
    <w:rsid w:val="00D02625"/>
    <w:rsid w:val="00D24B86"/>
    <w:rsid w:val="00D35788"/>
    <w:rsid w:val="00D62F7F"/>
    <w:rsid w:val="00D82762"/>
    <w:rsid w:val="00D84487"/>
    <w:rsid w:val="00D87745"/>
    <w:rsid w:val="00D92AE5"/>
    <w:rsid w:val="00DB1C79"/>
    <w:rsid w:val="00DE707F"/>
    <w:rsid w:val="00E11374"/>
    <w:rsid w:val="00E36317"/>
    <w:rsid w:val="00E56868"/>
    <w:rsid w:val="00E61B76"/>
    <w:rsid w:val="00E85A23"/>
    <w:rsid w:val="00EA3249"/>
    <w:rsid w:val="00EC3A20"/>
    <w:rsid w:val="00ED2244"/>
    <w:rsid w:val="00EE0D62"/>
    <w:rsid w:val="00F1305F"/>
    <w:rsid w:val="00F14538"/>
    <w:rsid w:val="00F363AF"/>
    <w:rsid w:val="00F70CD1"/>
    <w:rsid w:val="00F7364D"/>
    <w:rsid w:val="00F81163"/>
    <w:rsid w:val="00FA6E60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.lug.prokoffic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5594</Words>
  <Characters>3190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Адмін</cp:lastModifiedBy>
  <cp:revision>28</cp:revision>
  <cp:lastPrinted>2024-03-06T15:02:00Z</cp:lastPrinted>
  <dcterms:created xsi:type="dcterms:W3CDTF">2023-01-15T09:06:00Z</dcterms:created>
  <dcterms:modified xsi:type="dcterms:W3CDTF">2024-03-07T09:30:00Z</dcterms:modified>
</cp:coreProperties>
</file>