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43" w:rsidRPr="00CC4E20" w:rsidRDefault="005E0743" w:rsidP="005E0743">
      <w:pPr>
        <w:pStyle w:val="21"/>
        <w:spacing w:after="0" w:line="100" w:lineRule="atLeast"/>
        <w:ind w:left="0" w:firstLine="709"/>
        <w:jc w:val="center"/>
        <w:rPr>
          <w:b/>
          <w:shd w:val="clear" w:color="auto" w:fill="FFFFFA"/>
        </w:rPr>
      </w:pPr>
      <w:r w:rsidRPr="00CC4E20">
        <w:rPr>
          <w:b/>
          <w:shd w:val="clear" w:color="auto" w:fill="FFFFFA"/>
        </w:rPr>
        <w:t>Інформація про технічні, якісні та кількісні характеристики предмета закупівлі</w:t>
      </w:r>
    </w:p>
    <w:p w:rsidR="005E0743" w:rsidRPr="003614E4" w:rsidRDefault="005E0743" w:rsidP="005E0743">
      <w:pPr>
        <w:pStyle w:val="21"/>
        <w:spacing w:after="0" w:line="100" w:lineRule="atLeast"/>
        <w:ind w:left="0" w:firstLine="709"/>
        <w:jc w:val="center"/>
        <w:rPr>
          <w:b/>
          <w:shd w:val="clear" w:color="auto" w:fill="FFFFFA"/>
        </w:rPr>
      </w:pPr>
      <w:r w:rsidRPr="00CC4E20">
        <w:rPr>
          <w:b/>
          <w:shd w:val="clear" w:color="auto" w:fill="FFFFFA"/>
        </w:rPr>
        <w:t>ТЕХНІЧНА СПЕЦИФІКАЦІЯ</w:t>
      </w:r>
    </w:p>
    <w:p w:rsidR="005E0743" w:rsidRPr="003614E4" w:rsidRDefault="005E0743" w:rsidP="005E0743">
      <w:pPr>
        <w:pStyle w:val="21"/>
        <w:spacing w:after="0" w:line="100" w:lineRule="atLeast"/>
        <w:ind w:left="0" w:firstLine="709"/>
        <w:jc w:val="center"/>
        <w:rPr>
          <w:b/>
          <w:shd w:val="clear" w:color="auto" w:fill="FFFFFA"/>
        </w:rPr>
      </w:pPr>
    </w:p>
    <w:p w:rsidR="005E0743" w:rsidRDefault="005E0743" w:rsidP="005E0743">
      <w:pPr>
        <w:jc w:val="both"/>
        <w:rPr>
          <w:b/>
          <w:bCs/>
          <w:lang w:val="uk-UA"/>
        </w:rPr>
      </w:pPr>
      <w:r w:rsidRPr="00BE5692">
        <w:rPr>
          <w:b/>
          <w:bCs/>
          <w:lang w:val="uk-UA"/>
        </w:rPr>
        <w:t xml:space="preserve">Предмет закупівлі: </w:t>
      </w:r>
      <w:r w:rsidRPr="005E31B4">
        <w:rPr>
          <w:b/>
          <w:bCs/>
          <w:lang w:val="uk-UA"/>
        </w:rPr>
        <w:t xml:space="preserve">ДК 021:2015 - </w:t>
      </w:r>
      <w:r w:rsidRPr="00AC72B8">
        <w:rPr>
          <w:b/>
          <w:bCs/>
          <w:lang w:val="uk-UA"/>
        </w:rPr>
        <w:t xml:space="preserve">45450000-6 - інші завершальні будівельні роботи, </w:t>
      </w:r>
      <w:r>
        <w:rPr>
          <w:b/>
          <w:bCs/>
          <w:lang w:val="uk-UA"/>
        </w:rPr>
        <w:t>п</w:t>
      </w:r>
      <w:r w:rsidRPr="00AC72B8">
        <w:rPr>
          <w:b/>
          <w:bCs/>
          <w:lang w:val="uk-UA"/>
        </w:rPr>
        <w:t>оточний ремонт першого поверху (</w:t>
      </w:r>
      <w:proofErr w:type="spellStart"/>
      <w:r w:rsidRPr="00AC72B8">
        <w:rPr>
          <w:b/>
          <w:bCs/>
          <w:lang w:val="uk-UA"/>
        </w:rPr>
        <w:t>приміщеня</w:t>
      </w:r>
      <w:proofErr w:type="spellEnd"/>
      <w:r w:rsidRPr="00AC72B8">
        <w:rPr>
          <w:b/>
          <w:bCs/>
          <w:lang w:val="uk-UA"/>
        </w:rPr>
        <w:t xml:space="preserve"> загального користування) адміністративної будівлі Луганської обласної прокуратури</w:t>
      </w:r>
      <w:r w:rsidRPr="00EA2DFC">
        <w:rPr>
          <w:b/>
          <w:bCs/>
          <w:lang w:val="uk-UA"/>
        </w:rPr>
        <w:t xml:space="preserve">, за </w:t>
      </w:r>
      <w:proofErr w:type="spellStart"/>
      <w:r w:rsidRPr="00EA2DFC">
        <w:rPr>
          <w:b/>
          <w:bCs/>
          <w:lang w:val="uk-UA"/>
        </w:rPr>
        <w:t>адресою</w:t>
      </w:r>
      <w:proofErr w:type="spellEnd"/>
      <w:r w:rsidRPr="00EA2DFC">
        <w:rPr>
          <w:b/>
          <w:bCs/>
          <w:lang w:val="uk-UA"/>
        </w:rPr>
        <w:t xml:space="preserve">: </w:t>
      </w:r>
      <w:r>
        <w:rPr>
          <w:b/>
          <w:bCs/>
          <w:lang w:val="uk-UA"/>
        </w:rPr>
        <w:t xml:space="preserve">                                    </w:t>
      </w:r>
      <w:r w:rsidRPr="005E31B4">
        <w:rPr>
          <w:b/>
          <w:bCs/>
          <w:lang w:val="uk-UA"/>
        </w:rPr>
        <w:t>вул. Б. Ліщини, 27, м. Сєвєродонецьк, Луганська область</w:t>
      </w:r>
      <w:r>
        <w:rPr>
          <w:b/>
          <w:bCs/>
          <w:lang w:val="uk-UA"/>
        </w:rPr>
        <w:t>.</w:t>
      </w:r>
    </w:p>
    <w:p w:rsidR="005E0743" w:rsidRDefault="005E0743" w:rsidP="005E0743">
      <w:pPr>
        <w:jc w:val="both"/>
        <w:rPr>
          <w:lang w:val="uk-UA"/>
        </w:rPr>
      </w:pPr>
      <w:r w:rsidRPr="007E490D">
        <w:rPr>
          <w:spacing w:val="-3"/>
          <w:lang w:val="uk-UA"/>
        </w:rPr>
        <w:t xml:space="preserve">Умови виконання робіт </w:t>
      </w:r>
      <w:r w:rsidRPr="007E490D">
        <w:rPr>
          <w:lang w:val="uk-UA"/>
        </w:rPr>
        <w:t>- виконання ремонтно-будівельних робіт в</w:t>
      </w:r>
      <w:r>
        <w:rPr>
          <w:lang w:val="uk-UA"/>
        </w:rPr>
        <w:t xml:space="preserve"> будівлях, що   експлуатуються</w:t>
      </w:r>
    </w:p>
    <w:p w:rsidR="005E0743" w:rsidRPr="007E490D" w:rsidRDefault="005E0743" w:rsidP="005E0743">
      <w:pPr>
        <w:jc w:val="both"/>
        <w:rPr>
          <w:bCs/>
          <w:lang w:val="uk-UA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7017"/>
        <w:gridCol w:w="976"/>
        <w:gridCol w:w="1260"/>
      </w:tblGrid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  <w:vAlign w:val="center"/>
          </w:tcPr>
          <w:p w:rsidR="005E0743" w:rsidRPr="00312030" w:rsidRDefault="005E0743" w:rsidP="006A3FBE">
            <w:pPr>
              <w:jc w:val="center"/>
              <w:rPr>
                <w:color w:val="000000"/>
                <w:sz w:val="22"/>
                <w:szCs w:val="22"/>
              </w:rPr>
            </w:pPr>
            <w:r w:rsidRPr="00312030">
              <w:rPr>
                <w:color w:val="000000"/>
                <w:sz w:val="22"/>
                <w:szCs w:val="22"/>
              </w:rPr>
              <w:t>№</w:t>
            </w:r>
            <w:r w:rsidRPr="00312030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7017" w:type="dxa"/>
            <w:vAlign w:val="center"/>
          </w:tcPr>
          <w:p w:rsidR="005E0743" w:rsidRPr="00BF6C5D" w:rsidRDefault="005E0743" w:rsidP="006A3FBE">
            <w:pPr>
              <w:ind w:right="152"/>
              <w:jc w:val="center"/>
              <w:rPr>
                <w:color w:val="000000"/>
              </w:rPr>
            </w:pPr>
            <w:proofErr w:type="spellStart"/>
            <w:r w:rsidRPr="00BF6C5D">
              <w:rPr>
                <w:color w:val="000000"/>
              </w:rPr>
              <w:t>Найменування</w:t>
            </w:r>
            <w:proofErr w:type="spellEnd"/>
            <w:r w:rsidRPr="00BF6C5D">
              <w:rPr>
                <w:color w:val="000000"/>
              </w:rPr>
              <w:t xml:space="preserve"> роб</w:t>
            </w:r>
            <w:r>
              <w:rPr>
                <w:color w:val="000000"/>
                <w:lang w:val="uk-UA"/>
              </w:rPr>
              <w:t>о</w:t>
            </w:r>
            <w:r w:rsidRPr="00BF6C5D">
              <w:rPr>
                <w:color w:val="000000"/>
              </w:rPr>
              <w:t xml:space="preserve">т і </w:t>
            </w:r>
            <w:proofErr w:type="spellStart"/>
            <w:r w:rsidRPr="00BF6C5D">
              <w:rPr>
                <w:color w:val="000000"/>
              </w:rPr>
              <w:t>витрат</w:t>
            </w:r>
            <w:proofErr w:type="spellEnd"/>
          </w:p>
        </w:tc>
        <w:tc>
          <w:tcPr>
            <w:tcW w:w="976" w:type="dxa"/>
            <w:vAlign w:val="center"/>
          </w:tcPr>
          <w:p w:rsidR="005E0743" w:rsidRPr="00BF6C5D" w:rsidRDefault="005E0743" w:rsidP="006A3FBE">
            <w:pPr>
              <w:jc w:val="center"/>
              <w:rPr>
                <w:color w:val="000000"/>
              </w:rPr>
            </w:pPr>
            <w:proofErr w:type="spellStart"/>
            <w:r w:rsidRPr="00BF6C5D">
              <w:rPr>
                <w:color w:val="000000"/>
              </w:rPr>
              <w:t>Одиниця</w:t>
            </w:r>
            <w:proofErr w:type="spellEnd"/>
            <w:r w:rsidRPr="00BF6C5D">
              <w:rPr>
                <w:color w:val="000000"/>
              </w:rPr>
              <w:br/>
            </w:r>
            <w:proofErr w:type="spellStart"/>
            <w:r w:rsidRPr="00BF6C5D">
              <w:rPr>
                <w:color w:val="000000"/>
              </w:rPr>
              <w:t>виміру</w:t>
            </w:r>
            <w:proofErr w:type="spellEnd"/>
          </w:p>
        </w:tc>
        <w:tc>
          <w:tcPr>
            <w:tcW w:w="1260" w:type="dxa"/>
            <w:vAlign w:val="center"/>
          </w:tcPr>
          <w:p w:rsidR="005E0743" w:rsidRPr="00BF6C5D" w:rsidRDefault="005E0743" w:rsidP="006A3FBE">
            <w:pPr>
              <w:jc w:val="center"/>
              <w:rPr>
                <w:color w:val="000000"/>
              </w:rPr>
            </w:pPr>
            <w:proofErr w:type="spellStart"/>
            <w:r w:rsidRPr="00BF6C5D">
              <w:rPr>
                <w:color w:val="000000"/>
              </w:rPr>
              <w:t>Кількість</w:t>
            </w:r>
            <w:proofErr w:type="spellEnd"/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  <w:vAlign w:val="center"/>
          </w:tcPr>
          <w:p w:rsidR="005E0743" w:rsidRPr="00312030" w:rsidRDefault="005E0743" w:rsidP="006A3FBE">
            <w:pPr>
              <w:jc w:val="center"/>
              <w:rPr>
                <w:color w:val="000000"/>
                <w:sz w:val="22"/>
                <w:szCs w:val="22"/>
              </w:rPr>
            </w:pPr>
            <w:r w:rsidRPr="003120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17" w:type="dxa"/>
            <w:vAlign w:val="center"/>
          </w:tcPr>
          <w:p w:rsidR="005E0743" w:rsidRPr="00BF6C5D" w:rsidRDefault="005E0743" w:rsidP="006A3FBE">
            <w:pPr>
              <w:ind w:right="152"/>
              <w:jc w:val="center"/>
              <w:rPr>
                <w:color w:val="000000"/>
                <w:sz w:val="20"/>
                <w:szCs w:val="20"/>
              </w:rPr>
            </w:pPr>
            <w:r w:rsidRPr="00BF6C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center"/>
          </w:tcPr>
          <w:p w:rsidR="005E0743" w:rsidRPr="00BF6C5D" w:rsidRDefault="005E0743" w:rsidP="006A3FBE">
            <w:pPr>
              <w:jc w:val="center"/>
              <w:rPr>
                <w:color w:val="000000"/>
                <w:sz w:val="20"/>
                <w:szCs w:val="20"/>
              </w:rPr>
            </w:pPr>
            <w:r w:rsidRPr="00BF6C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E0743" w:rsidRPr="00BF6C5D" w:rsidRDefault="005E0743" w:rsidP="006A3FBE">
            <w:pPr>
              <w:jc w:val="center"/>
              <w:rPr>
                <w:color w:val="000000"/>
                <w:sz w:val="20"/>
                <w:szCs w:val="20"/>
              </w:rPr>
            </w:pPr>
            <w:r w:rsidRPr="00BF6C5D">
              <w:rPr>
                <w:color w:val="000000"/>
                <w:sz w:val="20"/>
                <w:szCs w:val="20"/>
              </w:rPr>
              <w:t>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Розбирання цегляних перегородок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 xml:space="preserve"> м3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1,4094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(Демонтаж)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каркасу підвісних стель "Армстронг"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66,4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(Демонтаж)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стелі "Армстронг"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66,4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Розбирання покриттів підлог з лінолеуму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66,4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(Демонтаж)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плінтусів пластикових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46,42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 xml:space="preserve">Розбирання лаг з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дощок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і брусків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22,8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Розбирання дощатих покриттів підлог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22,8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Знімання шпалер простих та поліпшених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121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9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(Демонтаж)дверних прорізів площе 3 м2 з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металопластику у кам'яних стінах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10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(Демонтаж)металевих дверей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1,66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11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 xml:space="preserve">(Демонтаж)Улаштування обшивки стін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гіпсокартонними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гіпсоволокнистими листами на клеї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121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12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Улаштування перегородки з металопластику з дверима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10,44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13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Улаштування підстильного шару піщаного 100 мм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м3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1,8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14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Улаштування цементної стяжки товщиною 20 мм по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піщаній основі площею до 20 м2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15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На кожні 5 мм зміни товщини шару цементної стяжки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додавати до 50 мм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16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Армування стяжки дротяною сіткою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17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 xml:space="preserve">Улаштування стяжок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самовирівнювальних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з суміші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Cerezit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CN-69 товщиною 5 мм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  <w:lang w:val="uk-UA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Додавати до 10мм на кожний 1 мм товщини стяжок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самовирівнювальних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з суміші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Cerezit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CN-69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19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Улаштування покриттів з керамічних плиток на розчині із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 xml:space="preserve">сухої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клеючої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суміші, кількість плиток в 1 м2 понад 7 до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20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 xml:space="preserve">Улаштування плінтусів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полівінілхлоридних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на шурупах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17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21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 xml:space="preserve">Улаштування обшивки стін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гіпсокартонними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гіпсоволокнистими листами на клеї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37,56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22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 xml:space="preserve">Улаштування обшивки укосів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гіпсокартонними</w:t>
            </w:r>
            <w:proofErr w:type="spellEnd"/>
            <w:r w:rsidRPr="00576E91">
              <w:rPr>
                <w:spacing w:val="-3"/>
                <w:sz w:val="22"/>
                <w:szCs w:val="22"/>
                <w:lang w:val="uk-UA"/>
              </w:rPr>
              <w:t xml:space="preserve"> 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гіпсоволокнистими листами з кріпленням на клеї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3,12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23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Шпаклювання стін шпаклівкою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40,68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24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Обклеювання стін шпалерами простими та середньої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щільності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37,56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25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 xml:space="preserve">Поліпшене фарбування </w:t>
            </w:r>
            <w:proofErr w:type="spellStart"/>
            <w:r w:rsidRPr="00576E91">
              <w:rPr>
                <w:spacing w:val="-3"/>
                <w:sz w:val="22"/>
                <w:szCs w:val="22"/>
                <w:lang w:val="uk-UA"/>
              </w:rPr>
              <w:t>полівінілацетатними</w:t>
            </w:r>
            <w:proofErr w:type="spellEnd"/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водоемульсійними сумішами стін по збірних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576E91">
              <w:rPr>
                <w:spacing w:val="-3"/>
                <w:sz w:val="22"/>
                <w:szCs w:val="22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3,12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26</w:t>
            </w:r>
          </w:p>
        </w:tc>
        <w:tc>
          <w:tcPr>
            <w:tcW w:w="7017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976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576E9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E9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27</w:t>
            </w:r>
          </w:p>
        </w:tc>
        <w:tc>
          <w:tcPr>
            <w:tcW w:w="7017" w:type="dxa"/>
          </w:tcPr>
          <w:p w:rsidR="005E0743" w:rsidRDefault="005E0743" w:rsidP="006A3FB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 "Армстронг"</w:t>
            </w:r>
          </w:p>
        </w:tc>
        <w:tc>
          <w:tcPr>
            <w:tcW w:w="976" w:type="dxa"/>
          </w:tcPr>
          <w:p w:rsidR="005E0743" w:rsidRDefault="005E0743" w:rsidP="006A3FB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Default="005E0743" w:rsidP="006A3FB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28</w:t>
            </w:r>
          </w:p>
        </w:tc>
        <w:tc>
          <w:tcPr>
            <w:tcW w:w="7017" w:type="dxa"/>
          </w:tcPr>
          <w:p w:rsidR="005E0743" w:rsidRDefault="005E0743" w:rsidP="006A3FB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люмiнесцентних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ламп,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встановлюються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стелях</w:t>
            </w:r>
          </w:p>
        </w:tc>
        <w:tc>
          <w:tcPr>
            <w:tcW w:w="976" w:type="dxa"/>
          </w:tcPr>
          <w:p w:rsidR="005E0743" w:rsidRDefault="005E0743" w:rsidP="006A3FB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Default="005E0743" w:rsidP="006A3FB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29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Монтаж гофри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70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30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Затягування першого проводу перерізом до 2,5 мм2 в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труби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70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31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Установлення розеток утопленого типу при схованій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проводці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lastRenderedPageBreak/>
              <w:t>32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Установлення вимикачів утопленого типу при схованій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проводці, 1-клавішних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33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Улаштування стяжок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самовирівнювальних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з суміші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Cerezit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CN-69 товщиною 5 мм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22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34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  <w:lang w:val="uk-UA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Додавати до 10мм на кожний 1 мм товщини стяжок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самовирівнювальних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з суміші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Cerezit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CN-69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22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35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Улаштування покриттів з керамічних плиток на розчині із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 xml:space="preserve">сухої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клеючої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суміші, кількість плиток в 1 м2 понад 7 до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22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36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Заповнення дверних прорізів ламінованими дверними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блоками із застосуванням анкерів і монтажної піни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блок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37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Заповнення дверних прорізів готовими дверними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блоками площею понад 2 до 3 м2 з металопластику у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кам'яних стінах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38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Улаштування обшивки стін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гіпсокартонними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гіпсоволокнистими листами на клеї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41,72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39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Улаштування обшивки укосів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гіпсокартонними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гіпсоволокнистими листами з кріпленням на клеї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5,4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40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Шпаклювання стін шпаклівкою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47,12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41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Обклеювання стін шпалерами простими та середньої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щільності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47,12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42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Поліпшене фарбування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полівінілацетатними</w:t>
            </w:r>
            <w:proofErr w:type="spellEnd"/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водоемульсійними сумішами стін по збірних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5,4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43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22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44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19,84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45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Монтаж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свiтильникiв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люмiнесцентних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ламп,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якi</w:t>
            </w:r>
            <w:proofErr w:type="spellEnd"/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 xml:space="preserve">встановлюються в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пiдвiсних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стелях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46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Монтаж гофри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65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47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Затягування першого проводу перерізом до 2,5 мм2 в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труби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65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48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Установлення розеток утопленого типу при схованій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проводці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49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Установлення вимикачів утопленого типу при схованій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проводці, 1-клавішних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50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Улаштування плінтусів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полівінілхлоридних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на шурупах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15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51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Улаштування стяжок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самовирівнювальних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з суміші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Cerezit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CN-69 товщиною 5 мм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18,4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52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  <w:lang w:val="uk-UA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Додавати до 10мм на кожний 1 мм товщини стяжок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самовирівнювальних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з суміші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Cerezit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CN-69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18,4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53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Улаштування покриттів з ламінату на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шумогідроізоляційній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прокладці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18,4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54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Улаштування обшивки стін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гіпсокартонними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гіпсоволокнистими листами на клеї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43,12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55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Улаштування обшивки укосів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гіпсокартонними</w:t>
            </w:r>
            <w:proofErr w:type="spellEnd"/>
            <w:r w:rsidRPr="002C4F9C">
              <w:rPr>
                <w:spacing w:val="-3"/>
                <w:sz w:val="22"/>
                <w:szCs w:val="22"/>
                <w:lang w:val="uk-UA"/>
              </w:rPr>
              <w:t xml:space="preserve"> 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гіпсоволокнистими листами з кріпленням на клеї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2,1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56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Шпаклювання стін шпаклівкою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43,12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57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Шпаклювання укосів шпаклівкою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2,1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58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Обклеювання стін шпалерами простими та середньої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щільності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43,12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59</w:t>
            </w:r>
          </w:p>
        </w:tc>
        <w:tc>
          <w:tcPr>
            <w:tcW w:w="7017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 xml:space="preserve">Поліпшене фарбування </w:t>
            </w:r>
            <w:proofErr w:type="spellStart"/>
            <w:r w:rsidRPr="002C4F9C">
              <w:rPr>
                <w:spacing w:val="-3"/>
                <w:sz w:val="22"/>
                <w:szCs w:val="22"/>
                <w:lang w:val="uk-UA"/>
              </w:rPr>
              <w:t>полівінілацетатними</w:t>
            </w:r>
            <w:proofErr w:type="spellEnd"/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водоемульсійними сумішами стін по збірних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2C4F9C">
              <w:rPr>
                <w:spacing w:val="-3"/>
                <w:sz w:val="22"/>
                <w:szCs w:val="22"/>
                <w:lang w:val="uk-UA"/>
              </w:rPr>
              <w:t>конструкціях, підготовлених під фарбування</w:t>
            </w:r>
          </w:p>
        </w:tc>
        <w:tc>
          <w:tcPr>
            <w:tcW w:w="976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2C4F9C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F9C">
              <w:rPr>
                <w:spacing w:val="-3"/>
                <w:sz w:val="22"/>
                <w:szCs w:val="22"/>
                <w:lang w:val="uk-UA"/>
              </w:rPr>
              <w:t>2,1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60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Улаштування плінтусів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полівінілхлоридних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на шурупах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13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61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Улаштування каркаса для натяжної стелі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62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Улаштування тканини на стелю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63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Штучне сушіння покриттів стелі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18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64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Монтаж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свiтильникiв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люмiнесцентних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ламп,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якi</w:t>
            </w:r>
            <w:proofErr w:type="spellEnd"/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 xml:space="preserve">встановлюються в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пiдвiсних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стелях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65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Монтаж гофри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81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66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Затягування першого проводу перерізом до 2,5 мм2 в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труби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81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67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Установлення розеток утопленого типу при схованій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проводці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68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Установлення вимикачів утопленого типу при схованій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проводці, 2-клавішних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lastRenderedPageBreak/>
              <w:t>69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Заповнення дверних прорізів ламінованими дверними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блоками із застосуванням анкерів і монтажної піни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блок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70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Заповнення дверних прорізів ламінованими дверними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блоками із застосуванням анкерів і монтажної піни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блок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71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Улаштування стяжок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самовирівнювальних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з суміші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Cerezit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CN-69 товщиною 5 мм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6,52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72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  <w:lang w:val="uk-UA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Додавати до 10мм на кожний 1 мм товщини стяжок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самовирівнювальних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з суміші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Cerezit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CN-69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6,52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73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Улаштування покриттів з керамічних плиток на розчині із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 xml:space="preserve">сухої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клеючої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суміші, кількість плиток в 1 м2 понад 7 до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6,52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74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Улаштування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стиковочної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планки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1,6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75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Улаштування обшивки стін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гіпсокартонними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гіпсоволокнистими листами на клеї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47,7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76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Облицювання поверхонь стін керамічними плитками на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 xml:space="preserve">розчині із сухої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клеючої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суміші, число плиток в 1 м2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 xml:space="preserve">понад 7 до 12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47,7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77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6,52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78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6,52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79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Монтаж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свiтильникiв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люмiнесцентних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ламп,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якi</w:t>
            </w:r>
            <w:proofErr w:type="spellEnd"/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 xml:space="preserve">встановлюються в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пiдвiсних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стелях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80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Монтаж гофри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42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81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Затягування першого проводу перерізом до 2,5 мм2 в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труби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42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82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Установлення розеток утопленого типу при схованій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проводці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83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Установлення вимикачів утопленого типу при схованій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проводці, 2-клавішних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3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84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Заповнення дверних прорізів ламінованими дверними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блоками із застосуванням анкерів і монтажної піни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блок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1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85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Улаштування перегородок товщино 100мм на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металевому однорядному каркасі з обшивкою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гіпсокартонними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листами або гіпсоволокнистими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плитами в один шар з ізоляцією у житлових 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громадських будівлях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4,6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86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Шпаклювання стін шпаклівкою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9,2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87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Поліпшене фарбування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полівінілацетатними</w:t>
            </w:r>
            <w:proofErr w:type="spellEnd"/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водоемульсійними сумішами стін по збірних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конструкціях, підготовлених під фарбування /за два рази/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9,2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88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9,65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89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8,93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90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Монтаж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свiтильникiв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люмiнесцентних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ламп,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якi</w:t>
            </w:r>
            <w:proofErr w:type="spellEnd"/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 xml:space="preserve">встановлюються в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пiдвiсних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стелях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91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Грунтування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стін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грунтовко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 xml:space="preserve"> "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Бетконтакт</w:t>
            </w:r>
            <w:proofErr w:type="spellEnd"/>
            <w:r w:rsidRPr="00854881">
              <w:rPr>
                <w:spacing w:val="-3"/>
                <w:sz w:val="22"/>
                <w:szCs w:val="22"/>
                <w:lang w:val="uk-UA"/>
              </w:rPr>
              <w:t>"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32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92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Шпаклювання стін шпаклівкою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32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93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Поліпшене фарбування </w:t>
            </w:r>
            <w:proofErr w:type="spellStart"/>
            <w:r w:rsidRPr="00854881">
              <w:rPr>
                <w:spacing w:val="-3"/>
                <w:sz w:val="22"/>
                <w:szCs w:val="22"/>
                <w:lang w:val="uk-UA"/>
              </w:rPr>
              <w:t>полівінілацетатними</w:t>
            </w:r>
            <w:proofErr w:type="spellEnd"/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водоемульсійними сумішами стін по збірних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Pr="00854881">
              <w:rPr>
                <w:spacing w:val="-3"/>
                <w:sz w:val="22"/>
                <w:szCs w:val="22"/>
                <w:lang w:val="uk-UA"/>
              </w:rPr>
              <w:t>конструкціях, підготовлених під фарбування /за два рази/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32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94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Улаштування перегородки з металопластику зі склом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2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95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Улаштування перегородки з металопластику з дверима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9,4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96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Навантаження сміття вручну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 xml:space="preserve"> т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2,656</w:t>
            </w:r>
          </w:p>
        </w:tc>
      </w:tr>
      <w:tr w:rsidR="005E0743" w:rsidTr="006A3FBE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71" w:type="dxa"/>
          </w:tcPr>
          <w:p w:rsidR="005E0743" w:rsidRPr="00312030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12030">
              <w:rPr>
                <w:spacing w:val="-3"/>
                <w:sz w:val="22"/>
                <w:szCs w:val="22"/>
                <w:lang w:val="uk-UA"/>
              </w:rPr>
              <w:t>97</w:t>
            </w:r>
          </w:p>
        </w:tc>
        <w:tc>
          <w:tcPr>
            <w:tcW w:w="7017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Перевезення сміття до 10 км</w:t>
            </w:r>
          </w:p>
        </w:tc>
        <w:tc>
          <w:tcPr>
            <w:tcW w:w="976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т</w:t>
            </w:r>
          </w:p>
        </w:tc>
        <w:tc>
          <w:tcPr>
            <w:tcW w:w="1260" w:type="dxa"/>
          </w:tcPr>
          <w:p w:rsidR="005E0743" w:rsidRPr="00854881" w:rsidRDefault="005E0743" w:rsidP="006A3FBE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881">
              <w:rPr>
                <w:spacing w:val="-3"/>
                <w:sz w:val="22"/>
                <w:szCs w:val="22"/>
                <w:lang w:val="uk-UA"/>
              </w:rPr>
              <w:t>2,656</w:t>
            </w:r>
          </w:p>
        </w:tc>
      </w:tr>
    </w:tbl>
    <w:p w:rsidR="005E0743" w:rsidRPr="005E0743" w:rsidRDefault="005E0743" w:rsidP="005E0743">
      <w:pPr>
        <w:ind w:firstLine="540"/>
        <w:jc w:val="both"/>
        <w:rPr>
          <w:lang w:val="uk-UA"/>
        </w:rPr>
      </w:pPr>
      <w:bookmarkStart w:id="0" w:name="_GoBack"/>
      <w:r w:rsidRPr="005E0743">
        <w:rPr>
          <w:lang w:val="uk-UA"/>
        </w:rPr>
        <w:t>Вимоги  до організації та порядку надання послуг з поточний ремонт першого поверху (</w:t>
      </w:r>
      <w:proofErr w:type="spellStart"/>
      <w:r w:rsidRPr="005E0743">
        <w:rPr>
          <w:lang w:val="uk-UA"/>
        </w:rPr>
        <w:t>приміщеня</w:t>
      </w:r>
      <w:proofErr w:type="spellEnd"/>
      <w:r w:rsidRPr="005E0743">
        <w:rPr>
          <w:lang w:val="uk-UA"/>
        </w:rPr>
        <w:t xml:space="preserve"> загального користування) адміністративної будівлі Луганської обласної прокуратури, за </w:t>
      </w:r>
      <w:proofErr w:type="spellStart"/>
      <w:r w:rsidRPr="005E0743">
        <w:rPr>
          <w:lang w:val="uk-UA"/>
        </w:rPr>
        <w:t>адресою</w:t>
      </w:r>
      <w:proofErr w:type="spellEnd"/>
      <w:r w:rsidRPr="005E0743">
        <w:rPr>
          <w:lang w:val="uk-UA"/>
        </w:rPr>
        <w:t>: вул. Б. Ліщини, 27, м. Сєвєродонецьк, Луганська область.</w:t>
      </w:r>
    </w:p>
    <w:p w:rsidR="005E0743" w:rsidRPr="005E0743" w:rsidRDefault="005E0743" w:rsidP="005E0743">
      <w:pPr>
        <w:ind w:firstLine="540"/>
        <w:jc w:val="both"/>
        <w:rPr>
          <w:bCs/>
          <w:lang w:val="uk-UA"/>
        </w:rPr>
      </w:pPr>
      <w:r w:rsidRPr="005E0743">
        <w:rPr>
          <w:bCs/>
          <w:lang w:val="uk-UA"/>
        </w:rPr>
        <w:t xml:space="preserve">При розрахунку вартості пропозиції торгів Учасником враховується ціна предмету закупівлі відповідно до цієї тендерної документації торгів та всі витрати, пов’язані з виконанням зобов’язань Учасника процедури закупівлі по виконанню договору «під ключ», в тому числі: 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•</w:t>
      </w:r>
      <w:r w:rsidRPr="005E0743">
        <w:rPr>
          <w:lang w:val="uk-UA"/>
        </w:rPr>
        <w:tab/>
        <w:t>вартість робіт, включаючи всі матеріали і ресурси;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•</w:t>
      </w:r>
      <w:r w:rsidRPr="005E0743">
        <w:rPr>
          <w:lang w:val="uk-UA"/>
        </w:rPr>
        <w:tab/>
        <w:t xml:space="preserve">вартість інших елементів і послуг, зазначених у тендерній документації. 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lastRenderedPageBreak/>
        <w:t xml:space="preserve"> </w:t>
      </w:r>
      <w:r w:rsidRPr="005E0743">
        <w:rPr>
          <w:bCs/>
          <w:lang w:val="uk-UA"/>
        </w:rPr>
        <w:t>До кінцевої вартості пропозиції торгів включаються усі витрати Учасника, в тому числі, прямі витрати, накладні витрати та прибуток, який Учасник планує одержати при виконанні договору.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 Ціна пропозиції торгів визначається згідно предмету закупівлі, виходячи з обсягів робіт на підставі нормативної потреби в трудових і матеріально-технічних ресурсах, необхідних для здійснення проектних рішень по об'єкту замовлення та поточних цінах на них.</w:t>
      </w:r>
    </w:p>
    <w:p w:rsidR="005E0743" w:rsidRPr="005E0743" w:rsidRDefault="005E0743" w:rsidP="005E0743">
      <w:pPr>
        <w:shd w:val="clear" w:color="auto" w:fill="FFFFFF"/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 До складу вартості Учасник включає безпосередні та супутні (прямі і загальновиробничі) витрати, а також прибуток, адміністративні витрати, кошти на покриття ризику у випадках, передбачених ДСТУ Б Д.1.1-1:2013, податки, збори, обов'язкові платежі. Учасник при розрахунку вартості тендерної пропозиції не враховує вартість технічного нагляду та авторського нагляду.</w:t>
      </w:r>
    </w:p>
    <w:p w:rsidR="005E0743" w:rsidRPr="005E0743" w:rsidRDefault="005E0743" w:rsidP="005E0743">
      <w:pPr>
        <w:shd w:val="clear" w:color="auto" w:fill="FFFFFF"/>
        <w:ind w:firstLine="540"/>
        <w:jc w:val="both"/>
        <w:rPr>
          <w:lang w:val="uk-UA"/>
        </w:rPr>
      </w:pPr>
      <w:r w:rsidRPr="005E0743">
        <w:rPr>
          <w:lang w:val="uk-UA"/>
        </w:rPr>
        <w:t>Будь-які не враховані у ціні пропозиції витрати додатково оплачуватись не будуть. Ціна пропозиції торгів Учасника щодо проведення відповідних робіт повинна бути розрахована відповідно до ДСТУ Б. Д.1.1-1:2013.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Підсумки розрахунків прямих витрат по роботах, передбачених переліком, загальновиробничі витрати, прибуток та інші супутні витрати включаються в зведений розрахунок ціни пропозиції договірної ціни. 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 Ціну пропозиції торгів слід визначати відповідно до вказаних у цій документації та додатках до неї вимог щодо технологій виконання робіт, використання конкретних матеріалів і конструкцій, якості робіт, а також з дотриманням діючих норм і правил виконання робіт, технічної експлуатації будівельної техніки і безпечних умов праці.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 При цьому враховуються витрати Учасника на організацію і керування виробництвом і одержання економічно обґрунтованого прибутку.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 Договірна ціна, що пропонується згідно предмету закупівлі у цілому, за умовами торгів - </w:t>
      </w:r>
      <w:r w:rsidRPr="005E0743">
        <w:rPr>
          <w:bCs/>
          <w:lang w:val="uk-UA"/>
        </w:rPr>
        <w:t>є твердою</w:t>
      </w:r>
      <w:r w:rsidRPr="005E0743">
        <w:rPr>
          <w:lang w:val="uk-UA"/>
        </w:rPr>
        <w:t>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Загальна вартість пропозиції торгів та всі інші ціни повинні бути чітко та остаточно визначені без будь-яких посилань, обмежень або застережень, та за будь-яких обставин не підлягають зміні або коригуванню, у тому числі, шляхом знижок/надбавок, під час дії пропозиції.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Учасник відповідає за одержання будь-яких та всіх необхідних дозволів та ліцензій по роботах запропонованих на торги, та самостійно несе всі витрати на отримання таких дозволів, ліцензій тощо. Учасник надає довідку або лист в довільній формі за підписом уповноваженої особи Учасника з посиланням на місце оприлюднення дозвільних документів та посилання на відповідні норми чинного законодавства згідно з яким дані документи можуть надаватись в електронному вигляді, у разі якщо згідно із чинним законодавством паперові ліцензії, дозволи, декларації тощо не надаються. 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Учасник закупівлі до кінця строку подачі тендерної пропозиції забезпечує виїзд спеціалістів для огляду об'єкта з метою визначення об’ємів робіт, уточнення архітектурно-будівельних конструкцій, а також отримання інформації, яка може бути йому необхідна для підготовки пропозиції торгів та укладання договору, на що Учасник закупівлі повинен надати акт обстеження приміщення в довільній формі про присутність на об’єкті (</w:t>
      </w:r>
      <w:proofErr w:type="spellStart"/>
      <w:r w:rsidRPr="005E0743">
        <w:rPr>
          <w:lang w:val="uk-UA"/>
        </w:rPr>
        <w:t>с</w:t>
      </w:r>
      <w:r w:rsidRPr="005E0743">
        <w:rPr>
          <w:bCs/>
          <w:color w:val="222222"/>
          <w:lang w:val="uk-UA" w:eastAsia="uk-UA"/>
        </w:rPr>
        <w:t>канкопія</w:t>
      </w:r>
      <w:proofErr w:type="spellEnd"/>
      <w:r w:rsidRPr="005E0743">
        <w:rPr>
          <w:bCs/>
          <w:color w:val="222222"/>
          <w:lang w:val="uk-UA" w:eastAsia="uk-UA"/>
        </w:rPr>
        <w:t xml:space="preserve"> акту розміщується у складі документів тендерної пропозиції Учасника</w:t>
      </w:r>
      <w:r w:rsidRPr="005E0743">
        <w:rPr>
          <w:lang w:val="uk-UA"/>
        </w:rPr>
        <w:t>), підписаний відповідальною особою зі сторони Замовника. Витрати на відвідування об’єкту Учасник несе за власні кошти. При цьому Замовник не несе відповідальності за будь-які майнові та немайнові ризики, пов’язані з ознайомлювальною поїздкою.</w:t>
      </w:r>
    </w:p>
    <w:p w:rsidR="005E0743" w:rsidRPr="005E0743" w:rsidRDefault="005E0743" w:rsidP="005E0743">
      <w:pPr>
        <w:ind w:firstLine="567"/>
        <w:jc w:val="both"/>
        <w:rPr>
          <w:b/>
          <w:lang w:val="uk-UA"/>
        </w:rPr>
      </w:pPr>
      <w:r w:rsidRPr="005E0743">
        <w:rPr>
          <w:lang w:val="uk-UA"/>
        </w:rPr>
        <w:t>Адреса об’єкту: вул. Б. Ліщини, 27, м. Сєвєродонецьк, Луганська область.</w:t>
      </w:r>
    </w:p>
    <w:p w:rsidR="005E0743" w:rsidRPr="005E0743" w:rsidRDefault="005E0743" w:rsidP="005E0743">
      <w:pPr>
        <w:ind w:firstLine="567"/>
        <w:jc w:val="both"/>
        <w:rPr>
          <w:color w:val="000000"/>
          <w:lang w:val="uk-UA"/>
        </w:rPr>
      </w:pPr>
      <w:r w:rsidRPr="005E0743">
        <w:rPr>
          <w:color w:val="000000"/>
          <w:lang w:val="uk-UA"/>
        </w:rPr>
        <w:t xml:space="preserve">Після закінчення </w:t>
      </w:r>
      <w:r w:rsidRPr="005E0743">
        <w:rPr>
          <w:lang w:val="uk-UA"/>
        </w:rPr>
        <w:t>виконання робіт об’єкту</w:t>
      </w:r>
      <w:r w:rsidRPr="005E0743">
        <w:rPr>
          <w:color w:val="000000"/>
          <w:lang w:val="uk-UA"/>
        </w:rPr>
        <w:t xml:space="preserve"> територію необхідно очистити від будівельного сміття.</w:t>
      </w:r>
    </w:p>
    <w:p w:rsidR="005E0743" w:rsidRPr="005E0743" w:rsidRDefault="005E0743" w:rsidP="005E0743">
      <w:pPr>
        <w:ind w:firstLine="540"/>
        <w:jc w:val="both"/>
        <w:rPr>
          <w:color w:val="000000"/>
          <w:lang w:val="uk-UA"/>
        </w:rPr>
      </w:pPr>
      <w:r w:rsidRPr="005E0743">
        <w:rPr>
          <w:color w:val="000000"/>
          <w:lang w:val="uk-UA"/>
        </w:rPr>
        <w:t xml:space="preserve"> Для забезпечення нормального стану навколишнього середовища підрядник </w:t>
      </w:r>
      <w:r w:rsidRPr="005E0743">
        <w:rPr>
          <w:bCs/>
          <w:color w:val="000000"/>
          <w:lang w:val="uk-UA"/>
        </w:rPr>
        <w:t>зобов’язується:</w:t>
      </w:r>
    </w:p>
    <w:p w:rsidR="005E0743" w:rsidRPr="005E0743" w:rsidRDefault="005E0743" w:rsidP="005E0743">
      <w:pPr>
        <w:ind w:firstLine="540"/>
        <w:jc w:val="both"/>
        <w:rPr>
          <w:color w:val="000000"/>
          <w:lang w:val="uk-UA"/>
        </w:rPr>
      </w:pPr>
      <w:r w:rsidRPr="005E0743">
        <w:rPr>
          <w:color w:val="000000"/>
          <w:lang w:val="uk-UA"/>
        </w:rPr>
        <w:t>-</w:t>
      </w:r>
      <w:r w:rsidRPr="005E0743">
        <w:rPr>
          <w:lang w:val="uk-UA"/>
        </w:rPr>
        <w:t> своєчасно запобігати виникненню аварійних ситуацій;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lastRenderedPageBreak/>
        <w:t>- запобігати утворенню та зменшувати обсяги будівельних  відходів;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- здійснювати збирання, складування та вивезення на звалище будівельного сміття та відходів, які утворюються при проведенні робіт, визначених договірними зобов’язаннями щодо предмета закупівлі;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- не допускати розливу нафтопродуктів, мастил та інших хімічних речовин на ґрунт;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- під час експлуатації будівельних машин і механізмів здійснювати заходи щодо зниження токсичності викидів;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- </w:t>
      </w:r>
      <w:proofErr w:type="spellStart"/>
      <w:r w:rsidRPr="005E0743">
        <w:rPr>
          <w:lang w:val="uk-UA"/>
        </w:rPr>
        <w:t>ощадливо</w:t>
      </w:r>
      <w:proofErr w:type="spellEnd"/>
      <w:r w:rsidRPr="005E0743">
        <w:rPr>
          <w:lang w:val="uk-UA"/>
        </w:rPr>
        <w:t xml:space="preserve"> використовувати воду та електроенергію;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Відповідальність за виконання вимог екологічної безпеки несе Учасник -переможець.  </w:t>
      </w:r>
    </w:p>
    <w:p w:rsidR="005E0743" w:rsidRPr="005E0743" w:rsidRDefault="005E0743" w:rsidP="005E0743">
      <w:pPr>
        <w:ind w:firstLine="540"/>
        <w:jc w:val="both"/>
        <w:rPr>
          <w:bCs/>
          <w:lang w:val="uk-UA"/>
        </w:rPr>
      </w:pPr>
      <w:r w:rsidRPr="005E0743">
        <w:rPr>
          <w:lang w:val="uk-UA"/>
        </w:rPr>
        <w:t xml:space="preserve">Інформацію щодо застосування заходів із захисту довкілля, </w:t>
      </w:r>
      <w:r w:rsidRPr="005E0743">
        <w:rPr>
          <w:bCs/>
          <w:lang w:val="uk-UA"/>
        </w:rPr>
        <w:t>лист від Учасника у довільній формі.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Ціна пропозиції (договірна ціна) Учасника повинна бути розрахована  відповідно до  нормативних  документів  у будівництві  із урахуванням змін та доповнень та вимог, що висуваються до будівництва за бюджетні  кошти.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В ціні пропозиції учасник визначає вартість усіх запропонованих до виконання підрядних робіт. 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До ціни пропозиції мають бути надані підтверджуючі розрахунки за статтями витрат договірної ціни у відповідності до національного  стандарту.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Ненадання всієї інформації, яка є обов’язковою згідно з тендерною документацією, або надання тендерної пропозиції, яка не повністю відповідає документації, розглядаються як додаткові ризики та може призвести до відхилення тендерної пропозиції. 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>Обсяг щодо робіт по об’єкту зазначається Учасником відповідно до ДСТУ Б. Д.1.1-1:2013 та повинен забезпечувати виконання технічного завдання, передбаченого Додатком до цієї документації.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 Пропозиція, що не відповідає технічному завданню та інших частинах тендерної документації, буде відхилена як невідповідна вимогам документації.</w:t>
      </w:r>
    </w:p>
    <w:p w:rsidR="005E0743" w:rsidRPr="005E0743" w:rsidRDefault="005E0743" w:rsidP="005E0743">
      <w:pPr>
        <w:keepNext/>
        <w:keepLines/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 Ціну пропозиції тендерних торгів слід визначати відповідно до вимог завдання щодо термінів закінчення робіт, технології виконання  робіт, використання конкретних матеріалів і конструкцій, використання конкретних машин і механізмів, якості будівельно-монтажних робіт, а також з дотриманням діючих норм і правил виконання будівельно-монтажних робіт, технічною експлуатації будівельної техніки і безпечних умов праці. </w:t>
      </w:r>
    </w:p>
    <w:p w:rsidR="005E0743" w:rsidRPr="005E0743" w:rsidRDefault="005E0743" w:rsidP="005E0743">
      <w:pPr>
        <w:ind w:firstLine="540"/>
        <w:jc w:val="both"/>
        <w:rPr>
          <w:lang w:val="uk-UA"/>
        </w:rPr>
      </w:pPr>
      <w:r w:rsidRPr="005E0743">
        <w:rPr>
          <w:lang w:val="uk-UA"/>
        </w:rPr>
        <w:t xml:space="preserve">Звертаємо увагу Учасників процедури закупівлі на те, що по об'єктах, будівництво, капітальний ремонт або поточний ремонт </w:t>
      </w:r>
      <w:proofErr w:type="spellStart"/>
      <w:r w:rsidRPr="005E0743">
        <w:rPr>
          <w:lang w:val="uk-UA"/>
        </w:rPr>
        <w:t>якиї</w:t>
      </w:r>
      <w:proofErr w:type="spellEnd"/>
      <w:r w:rsidRPr="005E0743">
        <w:rPr>
          <w:lang w:val="uk-UA"/>
        </w:rPr>
        <w:t xml:space="preserve"> здійснюється із залученням бюджетних коштів або коштів підприємств, установ та організацій державної власності, поточні ціни на матеріальні ресурси приймаються за вартістю, яка не повинна перевищувати </w:t>
      </w:r>
      <w:proofErr w:type="spellStart"/>
      <w:r w:rsidRPr="005E0743">
        <w:rPr>
          <w:lang w:val="uk-UA"/>
        </w:rPr>
        <w:t>середньоринкову</w:t>
      </w:r>
      <w:proofErr w:type="spellEnd"/>
      <w:r w:rsidRPr="005E0743">
        <w:rPr>
          <w:lang w:val="uk-UA"/>
        </w:rPr>
        <w:t xml:space="preserve">.  </w:t>
      </w:r>
    </w:p>
    <w:p w:rsidR="005E0743" w:rsidRPr="005E0743" w:rsidRDefault="005E0743" w:rsidP="005E0743">
      <w:pPr>
        <w:ind w:firstLine="567"/>
        <w:jc w:val="both"/>
        <w:rPr>
          <w:lang w:val="uk-UA"/>
        </w:rPr>
      </w:pPr>
      <w:r w:rsidRPr="005E0743">
        <w:rPr>
          <w:lang w:val="uk-UA"/>
        </w:rPr>
        <w:t>Вимоги до строків та якості:</w:t>
      </w:r>
    </w:p>
    <w:p w:rsidR="005E0743" w:rsidRPr="005E0743" w:rsidRDefault="005E0743" w:rsidP="005E0743">
      <w:pPr>
        <w:ind w:firstLine="567"/>
        <w:jc w:val="both"/>
        <w:rPr>
          <w:lang w:val="uk-UA"/>
        </w:rPr>
      </w:pPr>
      <w:r w:rsidRPr="005E0743">
        <w:rPr>
          <w:lang w:val="uk-UA"/>
        </w:rPr>
        <w:t>-</w:t>
      </w:r>
      <w:r w:rsidRPr="005E0743">
        <w:rPr>
          <w:lang w:val="uk-UA"/>
        </w:rPr>
        <w:tab/>
        <w:t>строк надання послуг – до 30 грудня 2021 року;</w:t>
      </w:r>
    </w:p>
    <w:p w:rsidR="005E0743" w:rsidRPr="005E0743" w:rsidRDefault="005E0743" w:rsidP="005E0743">
      <w:pPr>
        <w:ind w:firstLine="567"/>
        <w:jc w:val="both"/>
        <w:rPr>
          <w:lang w:val="uk-UA"/>
        </w:rPr>
      </w:pPr>
      <w:r w:rsidRPr="005E0743">
        <w:rPr>
          <w:lang w:val="uk-UA"/>
        </w:rPr>
        <w:t>-</w:t>
      </w:r>
      <w:r w:rsidRPr="005E0743">
        <w:rPr>
          <w:lang w:val="uk-UA"/>
        </w:rPr>
        <w:tab/>
        <w:t>гарантія на роботи не менше 24 місяців;</w:t>
      </w:r>
    </w:p>
    <w:p w:rsidR="005E0743" w:rsidRPr="005E0743" w:rsidRDefault="005E0743" w:rsidP="005E0743">
      <w:pPr>
        <w:shd w:val="clear" w:color="auto" w:fill="FFFFFF"/>
        <w:ind w:firstLine="540"/>
        <w:jc w:val="both"/>
        <w:rPr>
          <w:color w:val="000000"/>
          <w:lang w:val="uk-UA"/>
        </w:rPr>
      </w:pPr>
      <w:r w:rsidRPr="005E0743">
        <w:rPr>
          <w:lang w:val="uk-UA"/>
        </w:rPr>
        <w:t xml:space="preserve">- гарантія </w:t>
      </w:r>
      <w:r w:rsidRPr="005E0743">
        <w:rPr>
          <w:color w:val="000000"/>
          <w:lang w:val="uk-UA"/>
        </w:rPr>
        <w:t>на матеріали та обладнання, що використовувались при виконанні робіт за Договором, термін дії встановлюється у відповідності з гарантійними паспортами підприємств-виробників відповідних матеріалів.</w:t>
      </w:r>
    </w:p>
    <w:p w:rsidR="005E0743" w:rsidRPr="005E0743" w:rsidRDefault="005E0743" w:rsidP="005E0743">
      <w:pPr>
        <w:ind w:firstLine="567"/>
        <w:jc w:val="both"/>
        <w:rPr>
          <w:lang w:val="uk-UA"/>
        </w:rPr>
      </w:pPr>
      <w:r w:rsidRPr="005E0743">
        <w:rPr>
          <w:lang w:val="uk-UA"/>
        </w:rPr>
        <w:t>-</w:t>
      </w:r>
      <w:r w:rsidRPr="005E0743">
        <w:rPr>
          <w:lang w:val="uk-UA"/>
        </w:rPr>
        <w:tab/>
        <w:t>при виконанні робіт зразки матеріалів надаються Замовнику для затвердження;</w:t>
      </w:r>
    </w:p>
    <w:p w:rsidR="005E0743" w:rsidRPr="005E0743" w:rsidRDefault="005E0743" w:rsidP="005E0743">
      <w:pPr>
        <w:ind w:firstLine="567"/>
        <w:jc w:val="both"/>
        <w:rPr>
          <w:lang w:val="uk-UA"/>
        </w:rPr>
      </w:pPr>
      <w:r w:rsidRPr="005E0743">
        <w:rPr>
          <w:color w:val="000000"/>
          <w:lang w:val="uk-UA"/>
        </w:rPr>
        <w:t>- оплата за виконані роботи проводиться Замовником на підставі Актів форми КБ-2в, довідок форми КБ-3 з можливістю відстрочки платежу до 30 (тридцяти) днів.</w:t>
      </w:r>
      <w:r w:rsidRPr="005E0743">
        <w:rPr>
          <w:lang w:val="uk-UA"/>
        </w:rPr>
        <w:t xml:space="preserve"> </w:t>
      </w:r>
    </w:p>
    <w:p w:rsidR="005E0743" w:rsidRPr="005E0743" w:rsidRDefault="005E0743" w:rsidP="005E0743">
      <w:pPr>
        <w:jc w:val="both"/>
        <w:rPr>
          <w:i/>
          <w:iCs/>
          <w:lang w:val="uk-UA"/>
        </w:rPr>
      </w:pPr>
      <w:r w:rsidRPr="005E0743">
        <w:rPr>
          <w:i/>
          <w:iCs/>
          <w:lang w:val="uk-UA"/>
        </w:rPr>
        <w:t xml:space="preserve"> </w:t>
      </w:r>
    </w:p>
    <w:p w:rsidR="005E0743" w:rsidRPr="005E0743" w:rsidRDefault="005E0743" w:rsidP="005E0743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5E0743" w:rsidRPr="005E0743" w:rsidRDefault="005E0743" w:rsidP="005E0743">
      <w:pPr>
        <w:pStyle w:val="a3"/>
        <w:ind w:firstLine="540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x-none"/>
        </w:rPr>
      </w:pPr>
      <w:r w:rsidRPr="005E0743">
        <w:rPr>
          <w:rFonts w:ascii="Times New Roman" w:eastAsia="SimSun" w:hAnsi="Times New Roman"/>
          <w:i/>
          <w:color w:val="000000"/>
          <w:kern w:val="2"/>
          <w:sz w:val="24"/>
          <w:szCs w:val="24"/>
          <w:lang w:val="uk-UA" w:eastAsia="zh-CN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5E0743" w:rsidRPr="005E0743" w:rsidRDefault="005E0743" w:rsidP="005E07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5E0743" w:rsidRPr="005E0743" w:rsidRDefault="005E0743" w:rsidP="005E0743">
      <w:pPr>
        <w:ind w:firstLine="567"/>
        <w:jc w:val="right"/>
        <w:rPr>
          <w:b/>
          <w:bCs/>
          <w:lang w:val="uk-UA"/>
        </w:rPr>
      </w:pPr>
    </w:p>
    <w:bookmarkEnd w:id="0"/>
    <w:p w:rsidR="005E0743" w:rsidRDefault="005E0743" w:rsidP="005E0743">
      <w:pPr>
        <w:ind w:firstLine="567"/>
        <w:jc w:val="right"/>
        <w:rPr>
          <w:b/>
          <w:bCs/>
          <w:lang w:val="uk-UA"/>
        </w:rPr>
      </w:pPr>
    </w:p>
    <w:p w:rsidR="005A2C50" w:rsidRPr="005E0743" w:rsidRDefault="005A2C50">
      <w:pPr>
        <w:rPr>
          <w:lang w:val="uk-UA"/>
        </w:rPr>
      </w:pPr>
    </w:p>
    <w:sectPr w:rsidR="005A2C50" w:rsidRPr="005E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A"/>
    <w:rsid w:val="00130C2A"/>
    <w:rsid w:val="005A2C50"/>
    <w:rsid w:val="005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C4C3-5A4E-47D5-B092-A7DCC9E9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E0743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styleId="a3">
    <w:name w:val="Plain Text"/>
    <w:basedOn w:val="a"/>
    <w:link w:val="a4"/>
    <w:rsid w:val="005E0743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E074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2311</Words>
  <Characters>13175</Characters>
  <Application>Microsoft Office Word</Application>
  <DocSecurity>0</DocSecurity>
  <Lines>109</Lines>
  <Paragraphs>30</Paragraphs>
  <ScaleCrop>false</ScaleCrop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2021-10-18T05:22:00Z</dcterms:created>
  <dcterms:modified xsi:type="dcterms:W3CDTF">2021-10-18T05:24:00Z</dcterms:modified>
</cp:coreProperties>
</file>